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B48" w:rsidRDefault="009C2B48" w:rsidP="003335F4">
      <w:pPr>
        <w:spacing w:line="600" w:lineRule="exact"/>
        <w:jc w:val="left"/>
        <w:rPr>
          <w:rFonts w:ascii="Times New Roman" w:eastAsia="黑体" w:hAnsi="Times New Roman"/>
          <w:bCs/>
          <w:sz w:val="32"/>
          <w:szCs w:val="32"/>
        </w:rPr>
      </w:pPr>
      <w:bookmarkStart w:id="0" w:name="_GoBack"/>
    </w:p>
    <w:p w:rsidR="00695C3D" w:rsidRDefault="00695C3D" w:rsidP="003335F4">
      <w:pPr>
        <w:spacing w:line="600" w:lineRule="exact"/>
        <w:jc w:val="left"/>
        <w:rPr>
          <w:rFonts w:ascii="Times New Roman" w:eastAsia="黑体" w:hAnsi="Times New Roman" w:hint="eastAsia"/>
          <w:bCs/>
          <w:sz w:val="32"/>
          <w:szCs w:val="32"/>
        </w:rPr>
      </w:pPr>
    </w:p>
    <w:p w:rsidR="009C2B48" w:rsidRDefault="009C2B48" w:rsidP="003335F4">
      <w:pPr>
        <w:spacing w:line="600" w:lineRule="exact"/>
      </w:pPr>
    </w:p>
    <w:p w:rsidR="009C2B48" w:rsidRDefault="00F8026B" w:rsidP="003335F4">
      <w:pPr>
        <w:spacing w:line="600" w:lineRule="exact"/>
        <w:jc w:val="center"/>
        <w:rPr>
          <w:rFonts w:asciiTheme="minorHAnsi" w:eastAsia="方正大标宋简体" w:hAnsiTheme="minorHAnsi" w:cstheme="minorBidi"/>
          <w:kern w:val="0"/>
          <w:sz w:val="44"/>
          <w:szCs w:val="42"/>
        </w:rPr>
      </w:pPr>
      <w:r>
        <w:rPr>
          <w:rFonts w:asciiTheme="minorHAnsi" w:eastAsia="方正大标宋简体" w:hAnsiTheme="minorHAnsi" w:cstheme="minorBidi" w:hint="eastAsia"/>
          <w:kern w:val="0"/>
          <w:sz w:val="44"/>
          <w:szCs w:val="42"/>
        </w:rPr>
        <w:t>北京证券</w:t>
      </w:r>
      <w:r>
        <w:rPr>
          <w:rFonts w:asciiTheme="minorHAnsi" w:eastAsia="方正大标宋简体" w:hAnsiTheme="minorHAnsi" w:cstheme="minorBidi"/>
          <w:kern w:val="0"/>
          <w:sz w:val="44"/>
          <w:szCs w:val="42"/>
        </w:rPr>
        <w:t>交易所</w:t>
      </w:r>
      <w:r>
        <w:rPr>
          <w:rFonts w:asciiTheme="minorHAnsi" w:eastAsia="方正大标宋简体" w:hAnsiTheme="minorHAnsi" w:cstheme="minorBidi" w:hint="eastAsia"/>
          <w:kern w:val="0"/>
          <w:sz w:val="44"/>
          <w:szCs w:val="42"/>
        </w:rPr>
        <w:t>投资者</w:t>
      </w:r>
      <w:r>
        <w:rPr>
          <w:rFonts w:asciiTheme="minorHAnsi" w:eastAsia="方正大标宋简体" w:hAnsiTheme="minorHAnsi" w:cstheme="minorBidi"/>
          <w:kern w:val="0"/>
          <w:sz w:val="44"/>
          <w:szCs w:val="42"/>
        </w:rPr>
        <w:t>适当性管理</w:t>
      </w:r>
      <w:r>
        <w:rPr>
          <w:rFonts w:asciiTheme="minorHAnsi" w:eastAsia="方正大标宋简体" w:hAnsiTheme="minorHAnsi" w:cstheme="minorBidi" w:hint="eastAsia"/>
          <w:kern w:val="0"/>
          <w:sz w:val="44"/>
          <w:szCs w:val="42"/>
        </w:rPr>
        <w:t>办法</w:t>
      </w:r>
    </w:p>
    <w:p w:rsidR="009C2B48" w:rsidRDefault="00F8026B" w:rsidP="003335F4">
      <w:pPr>
        <w:spacing w:line="600" w:lineRule="exact"/>
        <w:jc w:val="center"/>
        <w:rPr>
          <w:rFonts w:asciiTheme="minorHAnsi" w:eastAsia="方正大标宋简体" w:hAnsiTheme="minorHAnsi" w:cstheme="minorBidi"/>
          <w:kern w:val="0"/>
          <w:sz w:val="44"/>
          <w:szCs w:val="42"/>
        </w:rPr>
      </w:pPr>
      <w:r>
        <w:rPr>
          <w:rFonts w:asciiTheme="minorHAnsi" w:eastAsia="方正大标宋简体" w:hAnsiTheme="minorHAnsi" w:cstheme="minorBidi" w:hint="eastAsia"/>
          <w:kern w:val="0"/>
          <w:sz w:val="44"/>
          <w:szCs w:val="42"/>
        </w:rPr>
        <w:t>（试行）</w:t>
      </w:r>
    </w:p>
    <w:p w:rsidR="009C2B48" w:rsidRDefault="009C2B48" w:rsidP="003335F4">
      <w:pPr>
        <w:spacing w:line="600" w:lineRule="exact"/>
      </w:pPr>
    </w:p>
    <w:bookmarkEnd w:id="0"/>
    <w:p w:rsidR="009C2B48" w:rsidRDefault="00F8026B" w:rsidP="003335F4">
      <w:pPr>
        <w:pStyle w:val="a9"/>
        <w:numPr>
          <w:ilvl w:val="0"/>
          <w:numId w:val="1"/>
        </w:numPr>
        <w:spacing w:line="600" w:lineRule="exact"/>
        <w:ind w:left="0" w:firstLine="640"/>
        <w:rPr>
          <w:rFonts w:ascii="Times New Roman" w:eastAsia="仿宋" w:hAnsi="Times New Roman"/>
          <w:sz w:val="32"/>
          <w:szCs w:val="32"/>
        </w:rPr>
      </w:pPr>
      <w:r>
        <w:rPr>
          <w:rFonts w:ascii="Times New Roman" w:eastAsia="仿宋" w:hAnsi="Times New Roman" w:hint="eastAsia"/>
          <w:sz w:val="32"/>
          <w:szCs w:val="32"/>
        </w:rPr>
        <w:t>为了保障北京证券交易所（以下</w:t>
      </w:r>
      <w:r>
        <w:rPr>
          <w:rFonts w:ascii="Times New Roman" w:eastAsia="仿宋" w:hAnsi="Times New Roman"/>
          <w:sz w:val="32"/>
          <w:szCs w:val="32"/>
        </w:rPr>
        <w:t>简称</w:t>
      </w:r>
      <w:r>
        <w:rPr>
          <w:rFonts w:ascii="Times New Roman" w:eastAsia="仿宋" w:hAnsi="Times New Roman" w:hint="eastAsia"/>
          <w:sz w:val="32"/>
          <w:szCs w:val="32"/>
        </w:rPr>
        <w:t>本所或</w:t>
      </w:r>
      <w:r>
        <w:rPr>
          <w:rFonts w:ascii="Times New Roman" w:eastAsia="仿宋" w:hAnsi="Times New Roman"/>
          <w:sz w:val="32"/>
          <w:szCs w:val="32"/>
        </w:rPr>
        <w:t>北交所</w:t>
      </w:r>
      <w:r>
        <w:rPr>
          <w:rFonts w:ascii="Times New Roman" w:eastAsia="仿宋" w:hAnsi="Times New Roman" w:hint="eastAsia"/>
          <w:sz w:val="32"/>
          <w:szCs w:val="32"/>
        </w:rPr>
        <w:t>）市场规范发展，引导</w:t>
      </w:r>
      <w:r>
        <w:rPr>
          <w:rFonts w:ascii="Times New Roman" w:eastAsia="仿宋" w:hAnsi="Times New Roman"/>
          <w:sz w:val="32"/>
          <w:szCs w:val="32"/>
        </w:rPr>
        <w:t>投资者理性参与</w:t>
      </w:r>
      <w:r>
        <w:rPr>
          <w:rFonts w:ascii="Times New Roman" w:eastAsia="仿宋" w:hAnsi="Times New Roman" w:hint="eastAsia"/>
          <w:sz w:val="32"/>
          <w:szCs w:val="32"/>
        </w:rPr>
        <w:t>本所市场证券</w:t>
      </w:r>
      <w:r>
        <w:rPr>
          <w:rFonts w:ascii="Times New Roman" w:eastAsia="仿宋" w:hAnsi="Times New Roman"/>
          <w:sz w:val="32"/>
          <w:szCs w:val="32"/>
        </w:rPr>
        <w:t>交易，</w:t>
      </w:r>
      <w:r>
        <w:rPr>
          <w:rFonts w:ascii="Times New Roman" w:eastAsia="仿宋" w:hAnsi="Times New Roman" w:hint="eastAsia"/>
          <w:sz w:val="32"/>
          <w:szCs w:val="32"/>
        </w:rPr>
        <w:t>保护投资者合法权益，根据</w:t>
      </w:r>
      <w:r>
        <w:rPr>
          <w:rFonts w:eastAsia="仿宋" w:hint="eastAsia"/>
          <w:sz w:val="32"/>
        </w:rPr>
        <w:t>《中华人民共和国证券法》《证券公司监督管理条例》《证券期货投资者适当性管理办法》</w:t>
      </w:r>
      <w:r>
        <w:rPr>
          <w:rFonts w:ascii="Times New Roman" w:eastAsia="仿宋" w:hAnsi="Times New Roman" w:hint="eastAsia"/>
          <w:sz w:val="32"/>
          <w:szCs w:val="32"/>
        </w:rPr>
        <w:t>等法律法规，制定本办法。</w:t>
      </w:r>
    </w:p>
    <w:p w:rsidR="009C2B48" w:rsidRDefault="00F8026B" w:rsidP="003335F4">
      <w:pPr>
        <w:pStyle w:val="a9"/>
        <w:numPr>
          <w:ilvl w:val="0"/>
          <w:numId w:val="1"/>
        </w:numPr>
        <w:spacing w:line="600" w:lineRule="exact"/>
        <w:ind w:left="0" w:firstLine="640"/>
        <w:rPr>
          <w:rFonts w:ascii="Times New Roman" w:eastAsia="仿宋" w:hAnsi="Times New Roman"/>
          <w:sz w:val="32"/>
          <w:szCs w:val="32"/>
        </w:rPr>
      </w:pPr>
      <w:r>
        <w:rPr>
          <w:rFonts w:ascii="Times New Roman" w:eastAsia="仿宋" w:hAnsi="Times New Roman" w:hint="eastAsia"/>
          <w:sz w:val="32"/>
          <w:szCs w:val="32"/>
        </w:rPr>
        <w:t>本所市场实行</w:t>
      </w:r>
      <w:r>
        <w:rPr>
          <w:rFonts w:ascii="Times New Roman" w:eastAsia="仿宋" w:hAnsi="Times New Roman"/>
          <w:sz w:val="32"/>
          <w:szCs w:val="32"/>
        </w:rPr>
        <w:t>投资者适当性管理</w:t>
      </w:r>
      <w:r>
        <w:rPr>
          <w:rFonts w:ascii="Times New Roman" w:eastAsia="仿宋" w:hAnsi="Times New Roman" w:hint="eastAsia"/>
          <w:sz w:val="32"/>
          <w:szCs w:val="32"/>
        </w:rPr>
        <w:t>制度</w:t>
      </w:r>
      <w:r>
        <w:rPr>
          <w:rFonts w:ascii="Times New Roman" w:eastAsia="仿宋" w:hAnsi="Times New Roman"/>
          <w:sz w:val="32"/>
          <w:szCs w:val="32"/>
        </w:rPr>
        <w:t>。</w:t>
      </w:r>
      <w:r>
        <w:rPr>
          <w:rFonts w:ascii="Times New Roman" w:eastAsia="仿宋" w:hAnsi="Times New Roman" w:hint="eastAsia"/>
          <w:sz w:val="32"/>
          <w:szCs w:val="32"/>
        </w:rPr>
        <w:t>在</w:t>
      </w:r>
      <w:r>
        <w:rPr>
          <w:rFonts w:ascii="Times New Roman" w:eastAsia="仿宋" w:hAnsi="Times New Roman"/>
          <w:sz w:val="32"/>
          <w:szCs w:val="32"/>
        </w:rPr>
        <w:t>本所</w:t>
      </w:r>
      <w:r>
        <w:rPr>
          <w:rFonts w:ascii="Times New Roman" w:eastAsia="仿宋" w:hAnsi="Times New Roman" w:hint="eastAsia"/>
          <w:sz w:val="32"/>
          <w:szCs w:val="32"/>
        </w:rPr>
        <w:t>市场</w:t>
      </w:r>
      <w:r>
        <w:rPr>
          <w:rFonts w:ascii="Times New Roman" w:eastAsia="仿宋" w:hAnsi="Times New Roman"/>
          <w:sz w:val="32"/>
          <w:szCs w:val="32"/>
        </w:rPr>
        <w:t>从事证券交易</w:t>
      </w:r>
      <w:r>
        <w:rPr>
          <w:rFonts w:ascii="Times New Roman" w:eastAsia="仿宋" w:hAnsi="Times New Roman" w:hint="eastAsia"/>
          <w:sz w:val="32"/>
          <w:szCs w:val="32"/>
        </w:rPr>
        <w:t>及</w:t>
      </w:r>
      <w:r>
        <w:rPr>
          <w:rFonts w:ascii="Times New Roman" w:eastAsia="仿宋" w:hAnsi="Times New Roman"/>
          <w:sz w:val="32"/>
          <w:szCs w:val="32"/>
        </w:rPr>
        <w:t>相关业务的证券经营机构（</w:t>
      </w:r>
      <w:r>
        <w:rPr>
          <w:rFonts w:ascii="Times New Roman" w:eastAsia="仿宋" w:hAnsi="Times New Roman" w:hint="eastAsia"/>
          <w:sz w:val="32"/>
          <w:szCs w:val="32"/>
        </w:rPr>
        <w:t>以下</w:t>
      </w:r>
      <w:r>
        <w:rPr>
          <w:rFonts w:ascii="Times New Roman" w:eastAsia="仿宋" w:hAnsi="Times New Roman"/>
          <w:sz w:val="32"/>
          <w:szCs w:val="32"/>
        </w:rPr>
        <w:t>简称</w:t>
      </w:r>
      <w:r>
        <w:rPr>
          <w:rFonts w:ascii="Times New Roman" w:eastAsia="仿宋" w:hAnsi="Times New Roman" w:hint="eastAsia"/>
          <w:sz w:val="32"/>
          <w:szCs w:val="32"/>
        </w:rPr>
        <w:t>会员</w:t>
      </w:r>
      <w:r>
        <w:rPr>
          <w:rFonts w:ascii="Times New Roman" w:eastAsia="仿宋" w:hAnsi="Times New Roman"/>
          <w:sz w:val="32"/>
          <w:szCs w:val="32"/>
        </w:rPr>
        <w:t>）对</w:t>
      </w:r>
      <w:r>
        <w:rPr>
          <w:rFonts w:ascii="Times New Roman" w:eastAsia="仿宋" w:hAnsi="Times New Roman" w:hint="eastAsia"/>
          <w:sz w:val="32"/>
          <w:szCs w:val="32"/>
        </w:rPr>
        <w:t>投资者</w:t>
      </w:r>
      <w:r>
        <w:rPr>
          <w:rFonts w:ascii="Times New Roman" w:eastAsia="仿宋" w:hAnsi="Times New Roman"/>
          <w:sz w:val="32"/>
          <w:szCs w:val="32"/>
        </w:rPr>
        <w:t>参与</w:t>
      </w:r>
      <w:r>
        <w:rPr>
          <w:rFonts w:ascii="Times New Roman" w:eastAsia="仿宋" w:hAnsi="Times New Roman" w:hint="eastAsia"/>
          <w:sz w:val="32"/>
          <w:szCs w:val="32"/>
        </w:rPr>
        <w:t>本所市场证券</w:t>
      </w:r>
      <w:r>
        <w:rPr>
          <w:rFonts w:ascii="Times New Roman" w:eastAsia="仿宋" w:hAnsi="Times New Roman"/>
          <w:sz w:val="32"/>
          <w:szCs w:val="32"/>
        </w:rPr>
        <w:t>申购和交易（</w:t>
      </w:r>
      <w:r>
        <w:rPr>
          <w:rFonts w:ascii="Times New Roman" w:eastAsia="仿宋" w:hAnsi="Times New Roman" w:hint="eastAsia"/>
          <w:sz w:val="32"/>
          <w:szCs w:val="32"/>
        </w:rPr>
        <w:t>以下</w:t>
      </w:r>
      <w:r>
        <w:rPr>
          <w:rFonts w:ascii="Times New Roman" w:eastAsia="仿宋" w:hAnsi="Times New Roman"/>
          <w:sz w:val="32"/>
          <w:szCs w:val="32"/>
        </w:rPr>
        <w:t>统称交易）</w:t>
      </w:r>
      <w:r>
        <w:rPr>
          <w:rFonts w:ascii="Times New Roman" w:eastAsia="仿宋" w:hAnsi="Times New Roman" w:hint="eastAsia"/>
          <w:sz w:val="32"/>
          <w:szCs w:val="32"/>
        </w:rPr>
        <w:t>的适当性</w:t>
      </w:r>
      <w:r>
        <w:rPr>
          <w:rFonts w:ascii="Times New Roman" w:eastAsia="仿宋" w:hAnsi="Times New Roman"/>
          <w:sz w:val="32"/>
          <w:szCs w:val="32"/>
        </w:rPr>
        <w:t>管理，</w:t>
      </w:r>
      <w:r>
        <w:rPr>
          <w:rFonts w:ascii="Times New Roman" w:eastAsia="仿宋" w:hAnsi="Times New Roman" w:hint="eastAsia"/>
          <w:sz w:val="32"/>
          <w:szCs w:val="32"/>
        </w:rPr>
        <w:t>适用</w:t>
      </w:r>
      <w:r>
        <w:rPr>
          <w:rFonts w:ascii="Times New Roman" w:eastAsia="仿宋" w:hAnsi="Times New Roman"/>
          <w:sz w:val="32"/>
          <w:szCs w:val="32"/>
        </w:rPr>
        <w:t>本办法。</w:t>
      </w:r>
    </w:p>
    <w:p w:rsidR="009C2B48" w:rsidRDefault="00F8026B" w:rsidP="003335F4">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法律法规、部门规章和本所业务规则对产品或服务的投资者准入要求另有规定的，从其规定。</w:t>
      </w:r>
    </w:p>
    <w:p w:rsidR="009C2B48" w:rsidRDefault="00F8026B" w:rsidP="003335F4">
      <w:pPr>
        <w:pStyle w:val="a9"/>
        <w:numPr>
          <w:ilvl w:val="0"/>
          <w:numId w:val="1"/>
        </w:numPr>
        <w:spacing w:line="600" w:lineRule="exact"/>
        <w:ind w:left="0" w:firstLine="640"/>
        <w:rPr>
          <w:rFonts w:eastAsia="仿宋"/>
          <w:sz w:val="32"/>
        </w:rPr>
      </w:pPr>
      <w:r>
        <w:rPr>
          <w:rFonts w:ascii="Times New Roman" w:eastAsia="仿宋" w:hAnsi="Times New Roman" w:hint="eastAsia"/>
          <w:sz w:val="32"/>
          <w:szCs w:val="32"/>
        </w:rPr>
        <w:t>会员应当切实</w:t>
      </w:r>
      <w:r>
        <w:rPr>
          <w:rFonts w:ascii="Times New Roman" w:eastAsia="仿宋" w:hAnsi="Times New Roman"/>
          <w:sz w:val="32"/>
          <w:szCs w:val="32"/>
        </w:rPr>
        <w:t>履行投资者</w:t>
      </w:r>
      <w:r>
        <w:rPr>
          <w:rFonts w:ascii="Times New Roman" w:eastAsia="仿宋" w:hAnsi="Times New Roman" w:hint="eastAsia"/>
          <w:sz w:val="32"/>
          <w:szCs w:val="32"/>
        </w:rPr>
        <w:t>适当性</w:t>
      </w:r>
      <w:r>
        <w:rPr>
          <w:rFonts w:ascii="Times New Roman" w:eastAsia="仿宋" w:hAnsi="Times New Roman"/>
          <w:sz w:val="32"/>
          <w:szCs w:val="32"/>
        </w:rPr>
        <w:t>管理职责，</w:t>
      </w:r>
      <w:r>
        <w:rPr>
          <w:rFonts w:ascii="Times New Roman" w:eastAsia="仿宋" w:hAnsi="Times New Roman" w:hint="eastAsia"/>
          <w:sz w:val="32"/>
          <w:szCs w:val="32"/>
        </w:rPr>
        <w:t>按照本办法的规定，对委托其参与本所证券交易的投资者进行适当性管理，</w:t>
      </w:r>
      <w:r>
        <w:rPr>
          <w:rFonts w:ascii="Times New Roman" w:eastAsia="仿宋" w:hAnsi="Times New Roman"/>
          <w:sz w:val="32"/>
          <w:szCs w:val="32"/>
        </w:rPr>
        <w:t>引导投资者在充分了解</w:t>
      </w:r>
      <w:r>
        <w:rPr>
          <w:rFonts w:ascii="Times New Roman" w:eastAsia="仿宋" w:hAnsi="Times New Roman" w:hint="eastAsia"/>
          <w:sz w:val="32"/>
          <w:szCs w:val="32"/>
        </w:rPr>
        <w:t>本</w:t>
      </w:r>
      <w:r>
        <w:rPr>
          <w:rFonts w:ascii="Times New Roman" w:eastAsia="仿宋" w:hAnsi="Times New Roman"/>
          <w:sz w:val="32"/>
          <w:szCs w:val="32"/>
        </w:rPr>
        <w:t>所市场特性的基础上</w:t>
      </w:r>
      <w:r>
        <w:rPr>
          <w:rFonts w:ascii="Times New Roman" w:eastAsia="仿宋" w:hAnsi="Times New Roman" w:hint="eastAsia"/>
          <w:sz w:val="32"/>
          <w:szCs w:val="32"/>
        </w:rPr>
        <w:t>审慎参与本</w:t>
      </w:r>
      <w:r>
        <w:rPr>
          <w:rFonts w:ascii="Times New Roman" w:eastAsia="仿宋" w:hAnsi="Times New Roman"/>
          <w:sz w:val="32"/>
          <w:szCs w:val="32"/>
        </w:rPr>
        <w:t>所</w:t>
      </w:r>
      <w:r>
        <w:rPr>
          <w:rFonts w:ascii="Times New Roman" w:eastAsia="仿宋" w:hAnsi="Times New Roman" w:hint="eastAsia"/>
          <w:sz w:val="32"/>
          <w:szCs w:val="32"/>
        </w:rPr>
        <w:t>市场</w:t>
      </w:r>
      <w:r>
        <w:rPr>
          <w:rFonts w:ascii="Times New Roman" w:eastAsia="仿宋" w:hAnsi="Times New Roman"/>
          <w:sz w:val="32"/>
          <w:szCs w:val="32"/>
        </w:rPr>
        <w:t>交易。</w:t>
      </w:r>
    </w:p>
    <w:p w:rsidR="009C2B48" w:rsidRDefault="00F8026B" w:rsidP="003335F4">
      <w:pPr>
        <w:pStyle w:val="a9"/>
        <w:numPr>
          <w:ilvl w:val="0"/>
          <w:numId w:val="1"/>
        </w:numPr>
        <w:spacing w:line="600" w:lineRule="exact"/>
        <w:ind w:left="0" w:firstLine="640"/>
        <w:rPr>
          <w:rFonts w:ascii="Times New Roman" w:eastAsia="仿宋" w:hAnsi="Times New Roman"/>
          <w:sz w:val="32"/>
          <w:szCs w:val="32"/>
        </w:rPr>
      </w:pPr>
      <w:r>
        <w:rPr>
          <w:rFonts w:eastAsia="仿宋" w:hint="eastAsia"/>
          <w:sz w:val="32"/>
        </w:rPr>
        <w:t>投资者参与本所证券交易等相关业务，应当熟悉本</w:t>
      </w:r>
      <w:r>
        <w:rPr>
          <w:rFonts w:eastAsia="仿宋" w:hint="eastAsia"/>
          <w:sz w:val="32"/>
        </w:rPr>
        <w:lastRenderedPageBreak/>
        <w:t>所业务规定，了解上市</w:t>
      </w:r>
      <w:r>
        <w:rPr>
          <w:rFonts w:eastAsia="仿宋"/>
          <w:sz w:val="32"/>
        </w:rPr>
        <w:t>公司</w:t>
      </w:r>
      <w:r>
        <w:rPr>
          <w:rFonts w:eastAsia="仿宋" w:hint="eastAsia"/>
          <w:sz w:val="32"/>
        </w:rPr>
        <w:t>风险特征，结合自身风险偏好确定投资目标，客观评估自身的心理和生理承受能力、风险识别能力及风险控制能力，审慎决定是否参与证券交易等业务。</w:t>
      </w:r>
    </w:p>
    <w:p w:rsidR="009C2B48" w:rsidRDefault="00F8026B" w:rsidP="003335F4">
      <w:pPr>
        <w:pStyle w:val="a9"/>
        <w:numPr>
          <w:ilvl w:val="0"/>
          <w:numId w:val="1"/>
        </w:numPr>
        <w:spacing w:line="600" w:lineRule="exact"/>
        <w:ind w:left="0" w:firstLine="640"/>
        <w:rPr>
          <w:rFonts w:ascii="Times New Roman" w:eastAsia="仿宋" w:hAnsi="Times New Roman"/>
          <w:sz w:val="32"/>
          <w:szCs w:val="32"/>
        </w:rPr>
      </w:pPr>
      <w:r>
        <w:rPr>
          <w:rFonts w:ascii="Times New Roman" w:eastAsia="仿宋" w:hAnsi="Times New Roman" w:hint="eastAsia"/>
          <w:sz w:val="32"/>
          <w:szCs w:val="32"/>
        </w:rPr>
        <w:t>个人投资者</w:t>
      </w:r>
      <w:r>
        <w:rPr>
          <w:rFonts w:ascii="Times New Roman" w:eastAsia="仿宋" w:hAnsi="Times New Roman"/>
          <w:sz w:val="32"/>
          <w:szCs w:val="32"/>
        </w:rPr>
        <w:t>参与</w:t>
      </w:r>
      <w:r>
        <w:rPr>
          <w:rFonts w:ascii="Times New Roman" w:eastAsia="仿宋" w:hAnsi="Times New Roman" w:hint="eastAsia"/>
          <w:sz w:val="32"/>
          <w:szCs w:val="32"/>
        </w:rPr>
        <w:t>本所市场股票</w:t>
      </w:r>
      <w:r>
        <w:rPr>
          <w:rFonts w:ascii="Times New Roman" w:eastAsia="仿宋" w:hAnsi="Times New Roman"/>
          <w:sz w:val="32"/>
          <w:szCs w:val="32"/>
        </w:rPr>
        <w:t>交易，应当符合下列条件：</w:t>
      </w:r>
    </w:p>
    <w:p w:rsidR="009C2B48" w:rsidRDefault="00F8026B" w:rsidP="003335F4">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（一）申请</w:t>
      </w:r>
      <w:r>
        <w:rPr>
          <w:rFonts w:ascii="Times New Roman" w:eastAsia="仿宋" w:hAnsi="Times New Roman"/>
          <w:sz w:val="32"/>
          <w:szCs w:val="32"/>
        </w:rPr>
        <w:t>权限开通前</w:t>
      </w:r>
      <w:r>
        <w:rPr>
          <w:rFonts w:ascii="Times New Roman" w:eastAsia="仿宋" w:hAnsi="Times New Roman" w:hint="eastAsia"/>
          <w:sz w:val="32"/>
          <w:szCs w:val="32"/>
        </w:rPr>
        <w:t>20</w:t>
      </w:r>
      <w:r>
        <w:rPr>
          <w:rFonts w:ascii="Times New Roman" w:eastAsia="仿宋" w:hAnsi="Times New Roman" w:hint="eastAsia"/>
          <w:sz w:val="32"/>
          <w:szCs w:val="32"/>
        </w:rPr>
        <w:t>个交易</w:t>
      </w:r>
      <w:proofErr w:type="gramStart"/>
      <w:r>
        <w:rPr>
          <w:rFonts w:ascii="Times New Roman" w:eastAsia="仿宋" w:hAnsi="Times New Roman" w:hint="eastAsia"/>
          <w:sz w:val="32"/>
          <w:szCs w:val="32"/>
        </w:rPr>
        <w:t>日证券</w:t>
      </w:r>
      <w:proofErr w:type="gramEnd"/>
      <w:r>
        <w:rPr>
          <w:rFonts w:ascii="Times New Roman" w:eastAsia="仿宋" w:hAnsi="Times New Roman" w:hint="eastAsia"/>
          <w:sz w:val="32"/>
          <w:szCs w:val="32"/>
        </w:rPr>
        <w:t>账户和资金账户内的资产日均不低于人民币</w:t>
      </w:r>
      <w:r>
        <w:rPr>
          <w:rFonts w:ascii="Times New Roman" w:eastAsia="仿宋" w:hAnsi="Times New Roman"/>
          <w:sz w:val="32"/>
          <w:szCs w:val="32"/>
        </w:rPr>
        <w:t>50</w:t>
      </w:r>
      <w:r>
        <w:rPr>
          <w:rFonts w:ascii="Times New Roman" w:eastAsia="仿宋" w:hAnsi="Times New Roman" w:hint="eastAsia"/>
          <w:sz w:val="32"/>
          <w:szCs w:val="32"/>
        </w:rPr>
        <w:t>万元（不包括该投资者通过融资融券融入的资金和证券）；</w:t>
      </w:r>
    </w:p>
    <w:p w:rsidR="009C2B48" w:rsidRDefault="00F8026B" w:rsidP="003335F4">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（二）参与证券交易</w:t>
      </w:r>
      <w:r>
        <w:rPr>
          <w:rFonts w:ascii="Times New Roman" w:eastAsia="仿宋" w:hAnsi="Times New Roman" w:hint="eastAsia"/>
          <w:sz w:val="32"/>
          <w:szCs w:val="32"/>
        </w:rPr>
        <w:t>24</w:t>
      </w:r>
      <w:r>
        <w:rPr>
          <w:rFonts w:ascii="Times New Roman" w:eastAsia="仿宋" w:hAnsi="Times New Roman" w:hint="eastAsia"/>
          <w:sz w:val="32"/>
          <w:szCs w:val="32"/>
        </w:rPr>
        <w:t>个月以上。</w:t>
      </w:r>
    </w:p>
    <w:p w:rsidR="009C2B48" w:rsidRDefault="00F8026B" w:rsidP="003335F4">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机构</w:t>
      </w:r>
      <w:r>
        <w:rPr>
          <w:rFonts w:ascii="Times New Roman" w:eastAsia="仿宋" w:hAnsi="Times New Roman"/>
          <w:sz w:val="32"/>
          <w:szCs w:val="32"/>
        </w:rPr>
        <w:t>投资者参与</w:t>
      </w:r>
      <w:r>
        <w:rPr>
          <w:rFonts w:ascii="Times New Roman" w:eastAsia="仿宋" w:hAnsi="Times New Roman" w:hint="eastAsia"/>
          <w:sz w:val="32"/>
          <w:szCs w:val="32"/>
        </w:rPr>
        <w:t>本所股票</w:t>
      </w:r>
      <w:r>
        <w:rPr>
          <w:rFonts w:ascii="Times New Roman" w:eastAsia="仿宋" w:hAnsi="Times New Roman"/>
          <w:sz w:val="32"/>
          <w:szCs w:val="32"/>
        </w:rPr>
        <w:t>交易，应当符合法律法规及本所业务规则的规定。</w:t>
      </w:r>
    </w:p>
    <w:p w:rsidR="009C2B48" w:rsidRDefault="00F8026B" w:rsidP="003335F4">
      <w:pPr>
        <w:spacing w:line="600" w:lineRule="exact"/>
        <w:ind w:firstLineChars="200" w:firstLine="640"/>
        <w:rPr>
          <w:rFonts w:ascii="Times New Roman" w:eastAsia="仿宋" w:hAnsi="Times New Roman"/>
          <w:sz w:val="32"/>
          <w:szCs w:val="32"/>
        </w:rPr>
      </w:pPr>
      <w:r>
        <w:rPr>
          <w:rFonts w:eastAsia="仿宋" w:hint="eastAsia"/>
          <w:sz w:val="32"/>
        </w:rPr>
        <w:t>经中国证券监督管理委员会（以下简称中国证监会）批准，</w:t>
      </w:r>
      <w:r>
        <w:rPr>
          <w:rFonts w:ascii="Times New Roman" w:eastAsia="仿宋" w:hAnsi="Times New Roman" w:hint="eastAsia"/>
          <w:sz w:val="32"/>
          <w:szCs w:val="32"/>
        </w:rPr>
        <w:t>本所</w:t>
      </w:r>
      <w:r>
        <w:rPr>
          <w:rFonts w:ascii="Times New Roman" w:eastAsia="仿宋" w:hAnsi="Times New Roman"/>
          <w:sz w:val="32"/>
          <w:szCs w:val="32"/>
        </w:rPr>
        <w:t>可以</w:t>
      </w:r>
      <w:r>
        <w:rPr>
          <w:rFonts w:ascii="Times New Roman" w:eastAsia="仿宋" w:hAnsi="Times New Roman" w:hint="eastAsia"/>
          <w:sz w:val="32"/>
          <w:szCs w:val="32"/>
        </w:rPr>
        <w:t>根据</w:t>
      </w:r>
      <w:r>
        <w:rPr>
          <w:rFonts w:ascii="Times New Roman" w:eastAsia="仿宋" w:hAnsi="Times New Roman"/>
          <w:sz w:val="32"/>
          <w:szCs w:val="32"/>
        </w:rPr>
        <w:t>市场情况</w:t>
      </w:r>
      <w:r>
        <w:rPr>
          <w:rFonts w:ascii="Times New Roman" w:eastAsia="仿宋" w:hAnsi="Times New Roman" w:hint="eastAsia"/>
          <w:sz w:val="32"/>
          <w:szCs w:val="32"/>
        </w:rPr>
        <w:t>调整适当性</w:t>
      </w:r>
      <w:r>
        <w:rPr>
          <w:rFonts w:ascii="Times New Roman" w:eastAsia="仿宋" w:hAnsi="Times New Roman"/>
          <w:sz w:val="32"/>
          <w:szCs w:val="32"/>
        </w:rPr>
        <w:t>准入条件。</w:t>
      </w:r>
    </w:p>
    <w:p w:rsidR="009C2B48" w:rsidRDefault="00F8026B" w:rsidP="003335F4">
      <w:pPr>
        <w:pStyle w:val="a9"/>
        <w:numPr>
          <w:ilvl w:val="0"/>
          <w:numId w:val="1"/>
        </w:numPr>
        <w:spacing w:line="600" w:lineRule="exact"/>
        <w:ind w:left="0" w:firstLine="640"/>
        <w:rPr>
          <w:rFonts w:ascii="Times New Roman" w:eastAsia="仿宋" w:hAnsi="Times New Roman"/>
          <w:sz w:val="32"/>
          <w:szCs w:val="32"/>
        </w:rPr>
      </w:pPr>
      <w:r>
        <w:rPr>
          <w:rFonts w:eastAsia="仿宋" w:hint="eastAsia"/>
          <w:sz w:val="32"/>
        </w:rPr>
        <w:t>公司上市前</w:t>
      </w:r>
      <w:r>
        <w:rPr>
          <w:rFonts w:eastAsia="仿宋"/>
          <w:sz w:val="32"/>
        </w:rPr>
        <w:t>的股东、通过</w:t>
      </w:r>
      <w:r>
        <w:rPr>
          <w:rFonts w:eastAsia="仿宋" w:hint="eastAsia"/>
          <w:sz w:val="32"/>
        </w:rPr>
        <w:t>股权激励</w:t>
      </w:r>
      <w:r>
        <w:rPr>
          <w:rFonts w:eastAsia="仿宋"/>
          <w:sz w:val="32"/>
        </w:rPr>
        <w:t>持有公司股份的股东等，</w:t>
      </w:r>
      <w:r>
        <w:rPr>
          <w:rFonts w:eastAsia="仿宋" w:hint="eastAsia"/>
          <w:sz w:val="32"/>
        </w:rPr>
        <w:t>如不符合本办法规定</w:t>
      </w:r>
      <w:r>
        <w:rPr>
          <w:rFonts w:eastAsia="仿宋"/>
          <w:sz w:val="32"/>
        </w:rPr>
        <w:t>的投资者</w:t>
      </w:r>
      <w:r>
        <w:rPr>
          <w:rFonts w:eastAsia="仿宋" w:hint="eastAsia"/>
          <w:sz w:val="32"/>
        </w:rPr>
        <w:t>准入</w:t>
      </w:r>
      <w:r>
        <w:rPr>
          <w:rFonts w:eastAsia="仿宋"/>
          <w:sz w:val="32"/>
        </w:rPr>
        <w:t>条件</w:t>
      </w:r>
      <w:r>
        <w:rPr>
          <w:rFonts w:eastAsia="仿宋" w:hint="eastAsia"/>
          <w:sz w:val="32"/>
        </w:rPr>
        <w:t>，只能买卖其持有或曾持有的上市公司股票。</w:t>
      </w:r>
    </w:p>
    <w:p w:rsidR="009C2B48" w:rsidRDefault="00F8026B" w:rsidP="003335F4">
      <w:pPr>
        <w:pStyle w:val="a9"/>
        <w:numPr>
          <w:ilvl w:val="0"/>
          <w:numId w:val="1"/>
        </w:numPr>
        <w:spacing w:line="600" w:lineRule="exact"/>
        <w:ind w:left="0" w:firstLine="640"/>
        <w:rPr>
          <w:rFonts w:ascii="Times New Roman" w:eastAsia="仿宋" w:hAnsi="Times New Roman"/>
          <w:sz w:val="32"/>
          <w:szCs w:val="32"/>
        </w:rPr>
      </w:pPr>
      <w:r>
        <w:rPr>
          <w:rFonts w:eastAsia="仿宋" w:hint="eastAsia"/>
          <w:sz w:val="32"/>
        </w:rPr>
        <w:t>会员应当根据中国证监会有关规定及本办法要求，建立健全投资者分类、产品或服务分级和适当性匹配等内部管理制度，明确匹配依据、方法、流程等。</w:t>
      </w:r>
    </w:p>
    <w:p w:rsidR="009C2B48" w:rsidRDefault="00F8026B" w:rsidP="003335F4">
      <w:pPr>
        <w:pStyle w:val="a9"/>
        <w:numPr>
          <w:ilvl w:val="0"/>
          <w:numId w:val="1"/>
        </w:numPr>
        <w:spacing w:line="600" w:lineRule="exact"/>
        <w:ind w:left="0" w:firstLine="640"/>
        <w:rPr>
          <w:rFonts w:ascii="Times New Roman" w:eastAsia="仿宋" w:hAnsi="Times New Roman"/>
          <w:sz w:val="32"/>
          <w:szCs w:val="32"/>
        </w:rPr>
      </w:pPr>
      <w:r>
        <w:rPr>
          <w:rFonts w:eastAsia="仿宋" w:hint="eastAsia"/>
          <w:sz w:val="32"/>
        </w:rPr>
        <w:t>会员应当了解投资者的身份、财务状况、证券投资经验等相关信息，评估投资者的风险承受能力和风险识别能力，并对</w:t>
      </w:r>
      <w:r>
        <w:rPr>
          <w:rFonts w:eastAsia="仿宋"/>
          <w:sz w:val="32"/>
        </w:rPr>
        <w:t>个人投资者是否符合</w:t>
      </w:r>
      <w:r>
        <w:rPr>
          <w:rFonts w:eastAsia="仿宋" w:hint="eastAsia"/>
          <w:sz w:val="32"/>
        </w:rPr>
        <w:t>条件</w:t>
      </w:r>
      <w:r>
        <w:rPr>
          <w:rFonts w:eastAsia="仿宋"/>
          <w:sz w:val="32"/>
        </w:rPr>
        <w:t>进行</w:t>
      </w:r>
      <w:r>
        <w:rPr>
          <w:rFonts w:eastAsia="仿宋" w:hint="eastAsia"/>
          <w:sz w:val="32"/>
        </w:rPr>
        <w:t>核查</w:t>
      </w:r>
      <w:r>
        <w:rPr>
          <w:rFonts w:eastAsia="仿宋"/>
          <w:sz w:val="32"/>
        </w:rPr>
        <w:t>。</w:t>
      </w:r>
    </w:p>
    <w:p w:rsidR="009C2B48" w:rsidRDefault="00F8026B" w:rsidP="003335F4">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lastRenderedPageBreak/>
        <w:t>会员应当重点评估个人投资者是否了解北交所股票交易的业务规则与流程，</w:t>
      </w:r>
      <w:r>
        <w:rPr>
          <w:rFonts w:ascii="Times New Roman" w:eastAsia="仿宋" w:hAnsi="Times New Roman"/>
          <w:sz w:val="32"/>
          <w:szCs w:val="32"/>
        </w:rPr>
        <w:t>以及是否充分知晓北交所股票投资风险。</w:t>
      </w:r>
      <w:r>
        <w:rPr>
          <w:rFonts w:eastAsia="仿宋" w:hint="eastAsia"/>
          <w:sz w:val="32"/>
        </w:rPr>
        <w:t>评估结果</w:t>
      </w:r>
      <w:r>
        <w:rPr>
          <w:rFonts w:eastAsia="仿宋"/>
          <w:sz w:val="32"/>
        </w:rPr>
        <w:t>及适当性匹配意见应当告知投资者。</w:t>
      </w:r>
    </w:p>
    <w:p w:rsidR="009C2B48" w:rsidRDefault="00F8026B" w:rsidP="003335F4">
      <w:pPr>
        <w:pStyle w:val="a9"/>
        <w:numPr>
          <w:ilvl w:val="0"/>
          <w:numId w:val="1"/>
        </w:numPr>
        <w:spacing w:line="600" w:lineRule="exact"/>
        <w:ind w:left="0" w:firstLine="640"/>
        <w:rPr>
          <w:rFonts w:ascii="Times New Roman" w:eastAsia="仿宋" w:hAnsi="Times New Roman"/>
          <w:sz w:val="32"/>
          <w:szCs w:val="32"/>
        </w:rPr>
      </w:pPr>
      <w:r>
        <w:rPr>
          <w:rFonts w:ascii="Times New Roman" w:eastAsia="仿宋" w:hAnsi="Times New Roman" w:hint="eastAsia"/>
          <w:sz w:val="32"/>
          <w:szCs w:val="32"/>
        </w:rPr>
        <w:t>会员应当认真审核投资者提交的相关材料，并要求首次委托买入本所股票的投资者，以纸面或电子形式签署风险揭示书，风险揭示书应当充分揭示北交所股票交易风险。</w:t>
      </w:r>
    </w:p>
    <w:p w:rsidR="009C2B48" w:rsidRDefault="00F8026B" w:rsidP="003335F4">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投资者未签署风险揭示书的，会员不得接受其申购或买入委托。</w:t>
      </w:r>
    </w:p>
    <w:p w:rsidR="009C2B48" w:rsidRDefault="00F8026B" w:rsidP="003335F4">
      <w:pPr>
        <w:pStyle w:val="a9"/>
        <w:numPr>
          <w:ilvl w:val="0"/>
          <w:numId w:val="1"/>
        </w:numPr>
        <w:spacing w:line="600" w:lineRule="exact"/>
        <w:ind w:left="0" w:firstLine="640"/>
        <w:rPr>
          <w:rFonts w:ascii="Times New Roman" w:eastAsia="仿宋" w:hAnsi="Times New Roman"/>
          <w:sz w:val="32"/>
          <w:szCs w:val="32"/>
        </w:rPr>
      </w:pPr>
      <w:r>
        <w:rPr>
          <w:rFonts w:eastAsia="仿宋" w:hint="eastAsia"/>
          <w:sz w:val="32"/>
        </w:rPr>
        <w:t>会员应当制定投资者服务方案和管理流程，根据投资者的不同特点，有针对性地开展风险揭示、投资者知识普及和投资者服务等工作。</w:t>
      </w:r>
    </w:p>
    <w:p w:rsidR="009C2B48" w:rsidRDefault="00F8026B" w:rsidP="003335F4">
      <w:pPr>
        <w:pStyle w:val="a9"/>
        <w:numPr>
          <w:ilvl w:val="0"/>
          <w:numId w:val="1"/>
        </w:numPr>
        <w:spacing w:line="600" w:lineRule="exact"/>
        <w:ind w:left="0" w:firstLine="640"/>
        <w:rPr>
          <w:rFonts w:ascii="Times New Roman" w:eastAsia="仿宋" w:hAnsi="Times New Roman"/>
          <w:sz w:val="32"/>
          <w:szCs w:val="32"/>
        </w:rPr>
      </w:pPr>
      <w:r>
        <w:rPr>
          <w:rFonts w:eastAsia="仿宋" w:hint="eastAsia"/>
          <w:sz w:val="32"/>
        </w:rPr>
        <w:t>会员应当告知投资者，其提供的信息发生重要变化、可能影响投资者分类的，应及时告知会员。会员应当建立投资者评估数据库，结合所了解的投资者信息和其参与证券交易的情况，及时对评估数据库进行更新，留存评估结果备查。</w:t>
      </w:r>
    </w:p>
    <w:p w:rsidR="009C2B48" w:rsidRDefault="00F8026B" w:rsidP="003335F4">
      <w:pPr>
        <w:pStyle w:val="a9"/>
        <w:numPr>
          <w:ilvl w:val="0"/>
          <w:numId w:val="1"/>
        </w:numPr>
        <w:spacing w:line="600" w:lineRule="exact"/>
        <w:ind w:left="0" w:firstLine="640"/>
        <w:rPr>
          <w:rFonts w:ascii="Times New Roman" w:eastAsia="仿宋" w:hAnsi="Times New Roman"/>
          <w:sz w:val="32"/>
          <w:szCs w:val="32"/>
        </w:rPr>
      </w:pPr>
      <w:r>
        <w:rPr>
          <w:rFonts w:eastAsia="仿宋" w:hint="eastAsia"/>
          <w:sz w:val="32"/>
        </w:rPr>
        <w:t>会员应当动态</w:t>
      </w:r>
      <w:r>
        <w:rPr>
          <w:rFonts w:eastAsia="仿宋"/>
          <w:sz w:val="32"/>
        </w:rPr>
        <w:t>跟踪和持续了解</w:t>
      </w:r>
      <w:r>
        <w:rPr>
          <w:rFonts w:eastAsia="仿宋" w:hint="eastAsia"/>
          <w:sz w:val="32"/>
        </w:rPr>
        <w:t>个人投资者交易情况和本所市场业务变化情况，主动调整投资者适当性匹配意见，并告知投资者上述情况。</w:t>
      </w:r>
    </w:p>
    <w:p w:rsidR="009C2B48" w:rsidRDefault="00F8026B" w:rsidP="003335F4">
      <w:pPr>
        <w:pStyle w:val="a9"/>
        <w:numPr>
          <w:ilvl w:val="0"/>
          <w:numId w:val="1"/>
        </w:numPr>
        <w:spacing w:line="600" w:lineRule="exact"/>
        <w:ind w:left="0" w:firstLine="640"/>
        <w:rPr>
          <w:rFonts w:ascii="Times New Roman" w:eastAsia="仿宋" w:hAnsi="Times New Roman"/>
          <w:sz w:val="32"/>
          <w:szCs w:val="32"/>
        </w:rPr>
      </w:pPr>
      <w:r>
        <w:rPr>
          <w:rFonts w:eastAsia="仿宋" w:hint="eastAsia"/>
          <w:sz w:val="32"/>
        </w:rPr>
        <w:t>投资者应当配合会员适当性管理工作，如实提供申报材料。投资者信息发生重要变化、可能影响其分类的，应当及时告知会员。</w:t>
      </w:r>
    </w:p>
    <w:p w:rsidR="009C2B48" w:rsidRDefault="00F8026B" w:rsidP="003335F4">
      <w:pPr>
        <w:spacing w:line="600" w:lineRule="exact"/>
        <w:ind w:firstLineChars="200" w:firstLine="640"/>
        <w:rPr>
          <w:rFonts w:eastAsia="仿宋"/>
          <w:sz w:val="32"/>
        </w:rPr>
      </w:pPr>
      <w:r>
        <w:rPr>
          <w:rFonts w:eastAsia="仿宋" w:hint="eastAsia"/>
          <w:sz w:val="32"/>
        </w:rPr>
        <w:t>投资者不予配合或提供信息不真实、不准确、不完整的，会</w:t>
      </w:r>
      <w:r>
        <w:rPr>
          <w:rFonts w:eastAsia="仿宋" w:hint="eastAsia"/>
          <w:sz w:val="32"/>
        </w:rPr>
        <w:lastRenderedPageBreak/>
        <w:t>员应当告知其后果，并拒绝为其办理本所交易相关业务或者限制其交易权限。</w:t>
      </w:r>
    </w:p>
    <w:p w:rsidR="009C2B48" w:rsidRDefault="00F8026B" w:rsidP="003335F4">
      <w:pPr>
        <w:pStyle w:val="a9"/>
        <w:numPr>
          <w:ilvl w:val="0"/>
          <w:numId w:val="1"/>
        </w:numPr>
        <w:spacing w:line="600" w:lineRule="exact"/>
        <w:ind w:left="0" w:firstLine="640"/>
        <w:rPr>
          <w:rFonts w:eastAsia="仿宋"/>
          <w:sz w:val="32"/>
        </w:rPr>
      </w:pPr>
      <w:r>
        <w:rPr>
          <w:rFonts w:eastAsia="仿宋" w:hint="eastAsia"/>
          <w:sz w:val="32"/>
        </w:rPr>
        <w:t>会员应当妥善保管投资者的档案资料，除依法配合调查和检查外，应当为投资者保密。</w:t>
      </w:r>
    </w:p>
    <w:p w:rsidR="009C2B48" w:rsidRDefault="00F8026B" w:rsidP="003335F4">
      <w:pPr>
        <w:pStyle w:val="a9"/>
        <w:numPr>
          <w:ilvl w:val="0"/>
          <w:numId w:val="1"/>
        </w:numPr>
        <w:spacing w:line="600" w:lineRule="exact"/>
        <w:ind w:left="0" w:firstLine="640"/>
        <w:rPr>
          <w:rFonts w:eastAsia="仿宋"/>
          <w:sz w:val="32"/>
        </w:rPr>
      </w:pPr>
      <w:r>
        <w:rPr>
          <w:rFonts w:eastAsia="仿宋" w:hint="eastAsia"/>
          <w:sz w:val="32"/>
        </w:rPr>
        <w:t>会员应当妥善保存业务办理、投资者服务过程中风险揭示的语音或影像留痕。</w:t>
      </w:r>
    </w:p>
    <w:p w:rsidR="009C2B48" w:rsidRDefault="00F8026B" w:rsidP="003335F4">
      <w:pPr>
        <w:pStyle w:val="a9"/>
        <w:numPr>
          <w:ilvl w:val="0"/>
          <w:numId w:val="1"/>
        </w:numPr>
        <w:spacing w:line="600" w:lineRule="exact"/>
        <w:ind w:left="0" w:firstLine="640"/>
        <w:rPr>
          <w:rFonts w:eastAsia="仿宋"/>
          <w:sz w:val="32"/>
        </w:rPr>
      </w:pPr>
      <w:r>
        <w:rPr>
          <w:rFonts w:eastAsia="仿宋" w:hint="eastAsia"/>
          <w:sz w:val="32"/>
        </w:rPr>
        <w:t>会员发现客户存在异常交易行为或者违法违规行为时，应当根据本所相关规定及时提醒客户，并向本所报告。</w:t>
      </w:r>
    </w:p>
    <w:p w:rsidR="009C2B48" w:rsidRDefault="00F8026B" w:rsidP="003335F4">
      <w:pPr>
        <w:pStyle w:val="a9"/>
        <w:numPr>
          <w:ilvl w:val="0"/>
          <w:numId w:val="1"/>
        </w:numPr>
        <w:spacing w:line="600" w:lineRule="exact"/>
        <w:ind w:left="0" w:firstLine="640"/>
        <w:rPr>
          <w:rFonts w:eastAsia="仿宋"/>
          <w:sz w:val="32"/>
        </w:rPr>
      </w:pPr>
      <w:r>
        <w:rPr>
          <w:rFonts w:eastAsia="仿宋" w:hint="eastAsia"/>
          <w:sz w:val="32"/>
        </w:rPr>
        <w:t>本所对存在异常交易行为的投资者采取监管措施的，会员应当及时与投资者取得联系，告知其有关监管要求和采取的监管措施。</w:t>
      </w:r>
    </w:p>
    <w:p w:rsidR="009C2B48" w:rsidRDefault="00F8026B" w:rsidP="003335F4">
      <w:pPr>
        <w:spacing w:line="600" w:lineRule="exact"/>
        <w:ind w:firstLineChars="200" w:firstLine="640"/>
        <w:rPr>
          <w:rFonts w:eastAsia="仿宋"/>
          <w:sz w:val="32"/>
        </w:rPr>
      </w:pPr>
      <w:r>
        <w:rPr>
          <w:rFonts w:eastAsia="仿宋" w:hint="eastAsia"/>
          <w:sz w:val="32"/>
        </w:rPr>
        <w:t>对出现异常交易行为的投资者，本所可以暂停或限制其交易，会员应当予以配合。</w:t>
      </w:r>
    </w:p>
    <w:p w:rsidR="009C2B48" w:rsidRDefault="00F8026B" w:rsidP="003335F4">
      <w:pPr>
        <w:pStyle w:val="a9"/>
        <w:numPr>
          <w:ilvl w:val="0"/>
          <w:numId w:val="1"/>
        </w:numPr>
        <w:spacing w:line="600" w:lineRule="exact"/>
        <w:ind w:left="0" w:firstLine="640"/>
        <w:rPr>
          <w:rFonts w:eastAsia="仿宋"/>
          <w:sz w:val="32"/>
        </w:rPr>
      </w:pPr>
      <w:r>
        <w:rPr>
          <w:rFonts w:eastAsia="仿宋" w:hint="eastAsia"/>
          <w:sz w:val="32"/>
        </w:rPr>
        <w:t>会员应当为投资者提供合理的投诉渠道，指定专门部门受理投诉，妥善处理与投资者的矛盾和纠纷，并认真做好记录工作。</w:t>
      </w:r>
    </w:p>
    <w:p w:rsidR="009C2B48" w:rsidRDefault="00F8026B" w:rsidP="003335F4">
      <w:pPr>
        <w:pStyle w:val="a9"/>
        <w:numPr>
          <w:ilvl w:val="0"/>
          <w:numId w:val="1"/>
        </w:numPr>
        <w:spacing w:line="600" w:lineRule="exact"/>
        <w:ind w:left="0" w:firstLine="640"/>
        <w:rPr>
          <w:rFonts w:eastAsia="仿宋"/>
          <w:sz w:val="32"/>
        </w:rPr>
      </w:pPr>
      <w:r>
        <w:rPr>
          <w:rFonts w:eastAsia="仿宋" w:hint="eastAsia"/>
          <w:sz w:val="32"/>
        </w:rPr>
        <w:t>会员应当按照本所的要求报送投资者适当性管理相关信息，并配合中国证监会及其派出机构、本所等监管机构对其投资者适当性管理执行情况进行检查，如实提供投资者开户资料、资金账户情况等信息，不得隐瞒、阻碍和拒绝。</w:t>
      </w:r>
    </w:p>
    <w:p w:rsidR="009C2B48" w:rsidRDefault="00F8026B" w:rsidP="003335F4">
      <w:pPr>
        <w:spacing w:line="600" w:lineRule="exact"/>
        <w:ind w:firstLineChars="200" w:firstLine="640"/>
        <w:rPr>
          <w:rFonts w:eastAsia="仿宋"/>
          <w:sz w:val="32"/>
        </w:rPr>
      </w:pPr>
      <w:r>
        <w:rPr>
          <w:rFonts w:eastAsia="仿宋" w:hint="eastAsia"/>
          <w:sz w:val="32"/>
        </w:rPr>
        <w:t>会员应当妥善保存其履行投资者适当性义务的相关信息资料，保存期限不得少于</w:t>
      </w:r>
      <w:r>
        <w:rPr>
          <w:rFonts w:ascii="Times New Roman" w:eastAsia="仿宋" w:hAnsi="Times New Roman"/>
          <w:sz w:val="32"/>
        </w:rPr>
        <w:t>20</w:t>
      </w:r>
      <w:r>
        <w:rPr>
          <w:rFonts w:eastAsia="仿宋" w:hint="eastAsia"/>
          <w:sz w:val="32"/>
        </w:rPr>
        <w:t>年。</w:t>
      </w:r>
    </w:p>
    <w:p w:rsidR="009C2B48" w:rsidRDefault="00F8026B" w:rsidP="003335F4">
      <w:pPr>
        <w:pStyle w:val="a9"/>
        <w:numPr>
          <w:ilvl w:val="0"/>
          <w:numId w:val="1"/>
        </w:numPr>
        <w:spacing w:line="600" w:lineRule="exact"/>
        <w:ind w:left="0" w:firstLine="640"/>
        <w:rPr>
          <w:rFonts w:eastAsia="仿宋"/>
          <w:sz w:val="32"/>
        </w:rPr>
      </w:pPr>
      <w:r>
        <w:rPr>
          <w:rFonts w:eastAsia="仿宋" w:hint="eastAsia"/>
          <w:sz w:val="32"/>
        </w:rPr>
        <w:lastRenderedPageBreak/>
        <w:t>会员及其相关业务人员违反本办法规定，本所</w:t>
      </w:r>
      <w:r>
        <w:rPr>
          <w:rFonts w:eastAsia="仿宋"/>
          <w:sz w:val="32"/>
        </w:rPr>
        <w:t>可以</w:t>
      </w:r>
      <w:r>
        <w:rPr>
          <w:rFonts w:eastAsia="仿宋" w:hint="eastAsia"/>
          <w:sz w:val="32"/>
        </w:rPr>
        <w:t>视情节轻重</w:t>
      </w:r>
      <w:r>
        <w:rPr>
          <w:rFonts w:eastAsia="仿宋"/>
          <w:sz w:val="32"/>
        </w:rPr>
        <w:t>采取以下自律监管措施</w:t>
      </w:r>
      <w:r>
        <w:rPr>
          <w:rFonts w:eastAsia="仿宋" w:hint="eastAsia"/>
          <w:sz w:val="32"/>
        </w:rPr>
        <w:t>：</w:t>
      </w:r>
    </w:p>
    <w:p w:rsidR="009C2B48" w:rsidRDefault="00F8026B" w:rsidP="003335F4">
      <w:pPr>
        <w:pStyle w:val="a9"/>
        <w:spacing w:line="600" w:lineRule="exact"/>
        <w:ind w:firstLine="640"/>
        <w:rPr>
          <w:rFonts w:eastAsia="仿宋"/>
          <w:sz w:val="32"/>
        </w:rPr>
      </w:pPr>
      <w:r>
        <w:rPr>
          <w:rFonts w:eastAsia="仿宋" w:hint="eastAsia"/>
          <w:sz w:val="32"/>
        </w:rPr>
        <w:t>（一）口头警示；</w:t>
      </w:r>
    </w:p>
    <w:p w:rsidR="009C2B48" w:rsidRDefault="00F8026B" w:rsidP="003335F4">
      <w:pPr>
        <w:pStyle w:val="a9"/>
        <w:spacing w:line="600" w:lineRule="exact"/>
        <w:ind w:firstLine="640"/>
        <w:rPr>
          <w:rFonts w:eastAsia="仿宋"/>
          <w:sz w:val="32"/>
        </w:rPr>
      </w:pPr>
      <w:r>
        <w:rPr>
          <w:rFonts w:eastAsia="仿宋" w:hint="eastAsia"/>
          <w:sz w:val="32"/>
        </w:rPr>
        <w:t>（二）约见谈话；</w:t>
      </w:r>
    </w:p>
    <w:p w:rsidR="009C2B48" w:rsidRDefault="00F8026B" w:rsidP="003335F4">
      <w:pPr>
        <w:pStyle w:val="a9"/>
        <w:spacing w:line="600" w:lineRule="exact"/>
        <w:ind w:firstLine="640"/>
        <w:rPr>
          <w:rFonts w:eastAsia="仿宋"/>
          <w:sz w:val="32"/>
        </w:rPr>
      </w:pPr>
      <w:r>
        <w:rPr>
          <w:rFonts w:eastAsia="仿宋" w:hint="eastAsia"/>
          <w:sz w:val="32"/>
        </w:rPr>
        <w:t>（三）</w:t>
      </w:r>
      <w:r>
        <w:rPr>
          <w:rFonts w:eastAsia="仿宋"/>
          <w:sz w:val="32"/>
        </w:rPr>
        <w:t>要求提交书面承诺</w:t>
      </w:r>
      <w:r>
        <w:rPr>
          <w:rFonts w:eastAsia="仿宋" w:hint="eastAsia"/>
          <w:sz w:val="32"/>
        </w:rPr>
        <w:t>；</w:t>
      </w:r>
    </w:p>
    <w:p w:rsidR="009C2B48" w:rsidRDefault="00F8026B" w:rsidP="003335F4">
      <w:pPr>
        <w:pStyle w:val="a9"/>
        <w:spacing w:line="600" w:lineRule="exact"/>
        <w:ind w:firstLine="640"/>
        <w:rPr>
          <w:rFonts w:eastAsia="仿宋"/>
          <w:sz w:val="32"/>
        </w:rPr>
      </w:pPr>
      <w:r>
        <w:rPr>
          <w:rFonts w:eastAsia="仿宋" w:hint="eastAsia"/>
          <w:sz w:val="32"/>
        </w:rPr>
        <w:t>（四）</w:t>
      </w:r>
      <w:r>
        <w:rPr>
          <w:rFonts w:eastAsia="仿宋"/>
          <w:sz w:val="32"/>
        </w:rPr>
        <w:t>出具警示函</w:t>
      </w:r>
      <w:r>
        <w:rPr>
          <w:rFonts w:eastAsia="仿宋" w:hint="eastAsia"/>
          <w:sz w:val="32"/>
        </w:rPr>
        <w:t>；</w:t>
      </w:r>
    </w:p>
    <w:p w:rsidR="009C2B48" w:rsidRDefault="00F8026B" w:rsidP="003335F4">
      <w:pPr>
        <w:pStyle w:val="a9"/>
        <w:spacing w:line="600" w:lineRule="exact"/>
        <w:ind w:firstLine="640"/>
        <w:rPr>
          <w:rFonts w:eastAsia="仿宋"/>
          <w:sz w:val="32"/>
        </w:rPr>
      </w:pPr>
      <w:r>
        <w:rPr>
          <w:rFonts w:eastAsia="仿宋" w:hint="eastAsia"/>
          <w:sz w:val="32"/>
        </w:rPr>
        <w:t>（五）限期</w:t>
      </w:r>
      <w:r>
        <w:rPr>
          <w:rFonts w:eastAsia="仿宋"/>
          <w:sz w:val="32"/>
        </w:rPr>
        <w:t>改正</w:t>
      </w:r>
      <w:r>
        <w:rPr>
          <w:rFonts w:eastAsia="仿宋" w:hint="eastAsia"/>
          <w:sz w:val="32"/>
        </w:rPr>
        <w:t>；</w:t>
      </w:r>
    </w:p>
    <w:p w:rsidR="009C2B48" w:rsidRDefault="00F8026B" w:rsidP="003335F4">
      <w:pPr>
        <w:pStyle w:val="a9"/>
        <w:spacing w:line="600" w:lineRule="exact"/>
        <w:ind w:firstLine="640"/>
        <w:rPr>
          <w:rFonts w:eastAsia="仿宋"/>
          <w:sz w:val="32"/>
        </w:rPr>
      </w:pPr>
      <w:r>
        <w:rPr>
          <w:rFonts w:eastAsia="仿宋" w:hint="eastAsia"/>
          <w:sz w:val="32"/>
        </w:rPr>
        <w:t>（六）本所</w:t>
      </w:r>
      <w:r>
        <w:rPr>
          <w:rFonts w:eastAsia="仿宋"/>
          <w:sz w:val="32"/>
        </w:rPr>
        <w:t>规定的其他自律监管措施</w:t>
      </w:r>
      <w:r>
        <w:rPr>
          <w:rFonts w:eastAsia="仿宋" w:hint="eastAsia"/>
          <w:sz w:val="32"/>
        </w:rPr>
        <w:t>。</w:t>
      </w:r>
    </w:p>
    <w:p w:rsidR="009C2B48" w:rsidRDefault="00F8026B" w:rsidP="003335F4">
      <w:pPr>
        <w:pStyle w:val="a9"/>
        <w:numPr>
          <w:ilvl w:val="0"/>
          <w:numId w:val="1"/>
        </w:numPr>
        <w:spacing w:line="600" w:lineRule="exact"/>
        <w:ind w:left="0" w:firstLine="640"/>
        <w:rPr>
          <w:rFonts w:eastAsia="仿宋"/>
          <w:sz w:val="32"/>
        </w:rPr>
      </w:pPr>
      <w:r>
        <w:rPr>
          <w:rFonts w:eastAsia="仿宋" w:hint="eastAsia"/>
          <w:sz w:val="32"/>
        </w:rPr>
        <w:t>会员及其相关业务人员严重违反本办法规定，本所</w:t>
      </w:r>
      <w:r>
        <w:rPr>
          <w:rFonts w:eastAsia="仿宋"/>
          <w:sz w:val="32"/>
        </w:rPr>
        <w:t>可以</w:t>
      </w:r>
      <w:r>
        <w:rPr>
          <w:rFonts w:eastAsia="仿宋" w:hint="eastAsia"/>
          <w:sz w:val="32"/>
        </w:rPr>
        <w:t>视情节轻重</w:t>
      </w:r>
      <w:r>
        <w:rPr>
          <w:rFonts w:eastAsia="仿宋"/>
          <w:sz w:val="32"/>
        </w:rPr>
        <w:t>采取以下纪律处分</w:t>
      </w:r>
      <w:r>
        <w:rPr>
          <w:rFonts w:eastAsia="仿宋" w:hint="eastAsia"/>
          <w:sz w:val="32"/>
        </w:rPr>
        <w:t>：</w:t>
      </w:r>
    </w:p>
    <w:p w:rsidR="009C2B48" w:rsidRDefault="00F8026B" w:rsidP="003335F4">
      <w:pPr>
        <w:pStyle w:val="a9"/>
        <w:numPr>
          <w:ilvl w:val="0"/>
          <w:numId w:val="2"/>
        </w:numPr>
        <w:spacing w:line="600" w:lineRule="exact"/>
        <w:ind w:left="0" w:firstLine="640"/>
        <w:rPr>
          <w:rFonts w:eastAsia="仿宋"/>
          <w:sz w:val="32"/>
        </w:rPr>
      </w:pPr>
      <w:r>
        <w:rPr>
          <w:rFonts w:eastAsia="仿宋" w:hint="eastAsia"/>
          <w:sz w:val="32"/>
        </w:rPr>
        <w:t>通报批评；</w:t>
      </w:r>
    </w:p>
    <w:p w:rsidR="009C2B48" w:rsidRDefault="00F8026B" w:rsidP="003335F4">
      <w:pPr>
        <w:pStyle w:val="a9"/>
        <w:numPr>
          <w:ilvl w:val="0"/>
          <w:numId w:val="2"/>
        </w:numPr>
        <w:spacing w:line="600" w:lineRule="exact"/>
        <w:ind w:left="0" w:firstLine="640"/>
        <w:rPr>
          <w:rFonts w:eastAsia="仿宋"/>
          <w:sz w:val="32"/>
        </w:rPr>
      </w:pPr>
      <w:r>
        <w:rPr>
          <w:rFonts w:eastAsia="仿宋"/>
          <w:sz w:val="32"/>
        </w:rPr>
        <w:t>公开谴责</w:t>
      </w:r>
      <w:r>
        <w:rPr>
          <w:rFonts w:eastAsia="仿宋" w:hint="eastAsia"/>
          <w:sz w:val="32"/>
        </w:rPr>
        <w:t>；</w:t>
      </w:r>
    </w:p>
    <w:p w:rsidR="009C2B48" w:rsidRDefault="00F8026B" w:rsidP="003335F4">
      <w:pPr>
        <w:pStyle w:val="a9"/>
        <w:numPr>
          <w:ilvl w:val="0"/>
          <w:numId w:val="2"/>
        </w:numPr>
        <w:spacing w:line="600" w:lineRule="exact"/>
        <w:ind w:left="0" w:firstLine="640"/>
        <w:rPr>
          <w:rFonts w:eastAsia="仿宋"/>
          <w:sz w:val="32"/>
        </w:rPr>
      </w:pPr>
      <w:r>
        <w:rPr>
          <w:rFonts w:eastAsia="仿宋"/>
          <w:sz w:val="32"/>
        </w:rPr>
        <w:t>限制</w:t>
      </w:r>
      <w:r>
        <w:rPr>
          <w:rFonts w:eastAsia="仿宋" w:hint="eastAsia"/>
          <w:sz w:val="32"/>
        </w:rPr>
        <w:t>、</w:t>
      </w:r>
      <w:r>
        <w:rPr>
          <w:rFonts w:eastAsia="仿宋"/>
          <w:sz w:val="32"/>
        </w:rPr>
        <w:t>暂停其从事相关业务</w:t>
      </w:r>
      <w:r>
        <w:rPr>
          <w:rFonts w:eastAsia="仿宋" w:hint="eastAsia"/>
          <w:sz w:val="32"/>
        </w:rPr>
        <w:t>；</w:t>
      </w:r>
    </w:p>
    <w:p w:rsidR="009C2B48" w:rsidRDefault="00F8026B" w:rsidP="003335F4">
      <w:pPr>
        <w:pStyle w:val="a9"/>
        <w:numPr>
          <w:ilvl w:val="0"/>
          <w:numId w:val="2"/>
        </w:numPr>
        <w:spacing w:line="600" w:lineRule="exact"/>
        <w:ind w:left="0" w:firstLine="640"/>
        <w:rPr>
          <w:rFonts w:eastAsia="仿宋"/>
          <w:sz w:val="32"/>
        </w:rPr>
      </w:pPr>
      <w:r>
        <w:rPr>
          <w:rFonts w:eastAsia="仿宋" w:hint="eastAsia"/>
          <w:sz w:val="32"/>
        </w:rPr>
        <w:t>本所</w:t>
      </w:r>
      <w:r>
        <w:rPr>
          <w:rFonts w:eastAsia="仿宋"/>
          <w:sz w:val="32"/>
        </w:rPr>
        <w:t>规定的其他纪律处分</w:t>
      </w:r>
      <w:r>
        <w:rPr>
          <w:rFonts w:eastAsia="仿宋" w:hint="eastAsia"/>
          <w:sz w:val="32"/>
        </w:rPr>
        <w:t>。</w:t>
      </w:r>
    </w:p>
    <w:p w:rsidR="009C2B48" w:rsidRDefault="00F8026B" w:rsidP="003335F4">
      <w:pPr>
        <w:pStyle w:val="a9"/>
        <w:numPr>
          <w:ilvl w:val="0"/>
          <w:numId w:val="1"/>
        </w:numPr>
        <w:spacing w:line="600" w:lineRule="exact"/>
        <w:ind w:left="0" w:firstLine="640"/>
        <w:rPr>
          <w:rFonts w:eastAsia="仿宋"/>
          <w:sz w:val="32"/>
        </w:rPr>
      </w:pPr>
      <w:r>
        <w:rPr>
          <w:rFonts w:eastAsia="仿宋" w:hint="eastAsia"/>
          <w:sz w:val="32"/>
        </w:rPr>
        <w:t>本办法所称“低于”不含本数，“以上”含本数。</w:t>
      </w:r>
    </w:p>
    <w:p w:rsidR="009C2B48" w:rsidRDefault="00F8026B" w:rsidP="003335F4">
      <w:pPr>
        <w:pStyle w:val="a9"/>
        <w:numPr>
          <w:ilvl w:val="0"/>
          <w:numId w:val="1"/>
        </w:numPr>
        <w:spacing w:line="600" w:lineRule="exact"/>
        <w:ind w:left="0" w:firstLine="640"/>
        <w:rPr>
          <w:rFonts w:eastAsia="仿宋"/>
          <w:sz w:val="32"/>
        </w:rPr>
      </w:pPr>
      <w:r>
        <w:rPr>
          <w:rFonts w:eastAsia="仿宋" w:hint="eastAsia"/>
          <w:sz w:val="32"/>
        </w:rPr>
        <w:t>本办法由本所负责解释。</w:t>
      </w:r>
    </w:p>
    <w:p w:rsidR="009C2B48" w:rsidRDefault="00F8026B" w:rsidP="003335F4">
      <w:pPr>
        <w:pStyle w:val="a9"/>
        <w:numPr>
          <w:ilvl w:val="0"/>
          <w:numId w:val="1"/>
        </w:numPr>
        <w:spacing w:line="600" w:lineRule="exact"/>
        <w:ind w:left="0" w:firstLine="640"/>
        <w:rPr>
          <w:rFonts w:eastAsia="仿宋"/>
          <w:sz w:val="32"/>
        </w:rPr>
      </w:pPr>
      <w:r>
        <w:rPr>
          <w:rFonts w:eastAsia="仿宋" w:hint="eastAsia"/>
          <w:sz w:val="32"/>
        </w:rPr>
        <w:t>本办法自发布之日起生效。</w:t>
      </w:r>
    </w:p>
    <w:p w:rsidR="009C2B48" w:rsidRPr="00C8084B" w:rsidRDefault="009C2B48" w:rsidP="003335F4">
      <w:pPr>
        <w:widowControl/>
        <w:spacing w:line="600" w:lineRule="exact"/>
        <w:jc w:val="left"/>
        <w:rPr>
          <w:rFonts w:eastAsia="仿宋"/>
          <w:sz w:val="32"/>
        </w:rPr>
      </w:pPr>
    </w:p>
    <w:sectPr w:rsidR="009C2B48" w:rsidRPr="00C8084B" w:rsidSect="00F8026B">
      <w:footerReference w:type="even" r:id="rId9"/>
      <w:footerReference w:type="default" r:id="rId10"/>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D3A" w:rsidRDefault="00972D3A">
      <w:r>
        <w:separator/>
      </w:r>
    </w:p>
  </w:endnote>
  <w:endnote w:type="continuationSeparator" w:id="0">
    <w:p w:rsidR="00972D3A" w:rsidRDefault="0097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B48" w:rsidRDefault="00F8026B">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370281354"/>
                          </w:sdtPr>
                          <w:sdtEndPr/>
                          <w:sdtContent>
                            <w:p w:rsidR="009C2B48" w:rsidRDefault="00F8026B">
                              <w:pPr>
                                <w:pStyle w:val="a6"/>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PAGE   \* MERGEFORMAT</w:instrText>
                              </w:r>
                              <w:r>
                                <w:rPr>
                                  <w:rFonts w:asciiTheme="minorEastAsia" w:eastAsiaTheme="minorEastAsia" w:hAnsiTheme="minorEastAsia" w:cstheme="minorEastAsia" w:hint="eastAsia"/>
                                  <w:sz w:val="28"/>
                                  <w:szCs w:val="28"/>
                                </w:rPr>
                                <w:fldChar w:fldCharType="separate"/>
                              </w:r>
                              <w:r w:rsidR="00695C3D" w:rsidRPr="00695C3D">
                                <w:rPr>
                                  <w:rFonts w:asciiTheme="minorEastAsia" w:eastAsiaTheme="minorEastAsia" w:hAnsiTheme="minorEastAsia" w:cstheme="minorEastAsia"/>
                                  <w:noProof/>
                                  <w:sz w:val="28"/>
                                  <w:szCs w:val="28"/>
                                  <w:lang w:val="zh-CN"/>
                                </w:rPr>
                                <w:t>-</w:t>
                              </w:r>
                              <w:r w:rsidR="00695C3D">
                                <w:rPr>
                                  <w:rFonts w:asciiTheme="minorEastAsia" w:eastAsiaTheme="minorEastAsia" w:hAnsiTheme="minorEastAsia" w:cstheme="minorEastAsia"/>
                                  <w:noProof/>
                                  <w:sz w:val="28"/>
                                  <w:szCs w:val="28"/>
                                </w:rPr>
                                <w:t xml:space="preserve"> 4 -</w:t>
                              </w:r>
                              <w:r>
                                <w:rPr>
                                  <w:rFonts w:asciiTheme="minorEastAsia" w:eastAsiaTheme="minorEastAsia" w:hAnsiTheme="minorEastAsia" w:cstheme="minorEastAsia" w:hint="eastAsia"/>
                                  <w:sz w:val="28"/>
                                  <w:szCs w:val="28"/>
                                </w:rPr>
                                <w:fldChar w:fldCharType="end"/>
                              </w:r>
                            </w:p>
                          </w:sdtContent>
                        </w:sdt>
                        <w:p w:rsidR="009C2B48" w:rsidRDefault="009C2B4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sdt>
                    <w:sdtPr>
                      <w:id w:val="370281354"/>
                    </w:sdtPr>
                    <w:sdtEndPr/>
                    <w:sdtContent>
                      <w:p w:rsidR="009C2B48" w:rsidRDefault="00F8026B">
                        <w:pPr>
                          <w:pStyle w:val="a6"/>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PAGE   \* MERGEFORMAT</w:instrText>
                        </w:r>
                        <w:r>
                          <w:rPr>
                            <w:rFonts w:asciiTheme="minorEastAsia" w:eastAsiaTheme="minorEastAsia" w:hAnsiTheme="minorEastAsia" w:cstheme="minorEastAsia" w:hint="eastAsia"/>
                            <w:sz w:val="28"/>
                            <w:szCs w:val="28"/>
                          </w:rPr>
                          <w:fldChar w:fldCharType="separate"/>
                        </w:r>
                        <w:r w:rsidR="00695C3D" w:rsidRPr="00695C3D">
                          <w:rPr>
                            <w:rFonts w:asciiTheme="minorEastAsia" w:eastAsiaTheme="minorEastAsia" w:hAnsiTheme="minorEastAsia" w:cstheme="minorEastAsia"/>
                            <w:noProof/>
                            <w:sz w:val="28"/>
                            <w:szCs w:val="28"/>
                            <w:lang w:val="zh-CN"/>
                          </w:rPr>
                          <w:t>-</w:t>
                        </w:r>
                        <w:r w:rsidR="00695C3D">
                          <w:rPr>
                            <w:rFonts w:asciiTheme="minorEastAsia" w:eastAsiaTheme="minorEastAsia" w:hAnsiTheme="minorEastAsia" w:cstheme="minorEastAsia"/>
                            <w:noProof/>
                            <w:sz w:val="28"/>
                            <w:szCs w:val="28"/>
                          </w:rPr>
                          <w:t xml:space="preserve"> 4 -</w:t>
                        </w:r>
                        <w:r>
                          <w:rPr>
                            <w:rFonts w:asciiTheme="minorEastAsia" w:eastAsiaTheme="minorEastAsia" w:hAnsiTheme="minorEastAsia" w:cstheme="minorEastAsia" w:hint="eastAsia"/>
                            <w:sz w:val="28"/>
                            <w:szCs w:val="28"/>
                          </w:rPr>
                          <w:fldChar w:fldCharType="end"/>
                        </w:r>
                      </w:p>
                    </w:sdtContent>
                  </w:sdt>
                  <w:p w:rsidR="009C2B48" w:rsidRDefault="009C2B48"/>
                </w:txbxContent>
              </v:textbox>
              <w10:wrap anchorx="margin"/>
            </v:shape>
          </w:pict>
        </mc:Fallback>
      </mc:AlternateContent>
    </w:r>
  </w:p>
  <w:p w:rsidR="009C2B48" w:rsidRDefault="009C2B4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847843"/>
      <w:docPartObj>
        <w:docPartGallery w:val="Page Numbers (Bottom of Page)"/>
        <w:docPartUnique/>
      </w:docPartObj>
    </w:sdtPr>
    <w:sdtEndPr>
      <w:rPr>
        <w:rFonts w:asciiTheme="minorEastAsia" w:eastAsiaTheme="minorEastAsia" w:hAnsiTheme="minorEastAsia"/>
        <w:sz w:val="28"/>
        <w:szCs w:val="28"/>
      </w:rPr>
    </w:sdtEndPr>
    <w:sdtContent>
      <w:p w:rsidR="007C1239" w:rsidRPr="007C1239" w:rsidRDefault="007C1239">
        <w:pPr>
          <w:pStyle w:val="a6"/>
          <w:jc w:val="right"/>
          <w:rPr>
            <w:rFonts w:asciiTheme="minorEastAsia" w:eastAsiaTheme="minorEastAsia" w:hAnsiTheme="minorEastAsia"/>
            <w:sz w:val="28"/>
            <w:szCs w:val="28"/>
          </w:rPr>
        </w:pPr>
        <w:r w:rsidRPr="007C1239">
          <w:rPr>
            <w:rFonts w:asciiTheme="minorEastAsia" w:eastAsiaTheme="minorEastAsia" w:hAnsiTheme="minorEastAsia"/>
            <w:sz w:val="28"/>
            <w:szCs w:val="28"/>
          </w:rPr>
          <w:fldChar w:fldCharType="begin"/>
        </w:r>
        <w:r w:rsidRPr="007C1239">
          <w:rPr>
            <w:rFonts w:asciiTheme="minorEastAsia" w:eastAsiaTheme="minorEastAsia" w:hAnsiTheme="minorEastAsia"/>
            <w:sz w:val="28"/>
            <w:szCs w:val="28"/>
          </w:rPr>
          <w:instrText>PAGE   \* MERGEFORMAT</w:instrText>
        </w:r>
        <w:r w:rsidRPr="007C1239">
          <w:rPr>
            <w:rFonts w:asciiTheme="minorEastAsia" w:eastAsiaTheme="minorEastAsia" w:hAnsiTheme="minorEastAsia"/>
            <w:sz w:val="28"/>
            <w:szCs w:val="28"/>
          </w:rPr>
          <w:fldChar w:fldCharType="separate"/>
        </w:r>
        <w:r w:rsidR="00695C3D" w:rsidRPr="00695C3D">
          <w:rPr>
            <w:rFonts w:asciiTheme="minorEastAsia" w:eastAsiaTheme="minorEastAsia" w:hAnsiTheme="minorEastAsia"/>
            <w:noProof/>
            <w:sz w:val="28"/>
            <w:szCs w:val="28"/>
            <w:lang w:val="zh-CN"/>
          </w:rPr>
          <w:t>-</w:t>
        </w:r>
        <w:r w:rsidR="00695C3D">
          <w:rPr>
            <w:rFonts w:asciiTheme="minorEastAsia" w:eastAsiaTheme="minorEastAsia" w:hAnsiTheme="minorEastAsia"/>
            <w:noProof/>
            <w:sz w:val="28"/>
            <w:szCs w:val="28"/>
          </w:rPr>
          <w:t xml:space="preserve"> 3 -</w:t>
        </w:r>
        <w:r w:rsidRPr="007C1239">
          <w:rPr>
            <w:rFonts w:asciiTheme="minorEastAsia" w:eastAsiaTheme="minorEastAsia" w:hAnsiTheme="minorEastAsia"/>
            <w:sz w:val="28"/>
            <w:szCs w:val="28"/>
          </w:rPr>
          <w:fldChar w:fldCharType="end"/>
        </w:r>
      </w:p>
    </w:sdtContent>
  </w:sdt>
  <w:p w:rsidR="009C2B48" w:rsidRDefault="009C2B4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D3A" w:rsidRDefault="00972D3A">
      <w:r>
        <w:separator/>
      </w:r>
    </w:p>
  </w:footnote>
  <w:footnote w:type="continuationSeparator" w:id="0">
    <w:p w:rsidR="00972D3A" w:rsidRDefault="00972D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00088"/>
    <w:multiLevelType w:val="multilevel"/>
    <w:tmpl w:val="19D00088"/>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5CDF2D0A"/>
    <w:multiLevelType w:val="multilevel"/>
    <w:tmpl w:val="707E2DAE"/>
    <w:lvl w:ilvl="0">
      <w:start w:val="1"/>
      <w:numFmt w:val="chineseCountingThousand"/>
      <w:suff w:val="space"/>
      <w:lvlText w:val="第%1条"/>
      <w:lvlJc w:val="left"/>
      <w:pPr>
        <w:ind w:left="5834" w:hanging="1155"/>
      </w:pPr>
      <w:rPr>
        <w:rFonts w:ascii="黑体" w:eastAsia="黑体" w:hAnsi="黑体" w:hint="default"/>
        <w:b w:val="0"/>
        <w:color w:val="auto"/>
        <w:lang w:val="en-US"/>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nsid w:val="7A5B5411"/>
    <w:multiLevelType w:val="multilevel"/>
    <w:tmpl w:val="7A5B5411"/>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549"/>
    <w:rsid w:val="00012DC1"/>
    <w:rsid w:val="000172A3"/>
    <w:rsid w:val="0003121D"/>
    <w:rsid w:val="00044BF5"/>
    <w:rsid w:val="00047E9B"/>
    <w:rsid w:val="00083FE0"/>
    <w:rsid w:val="0008474A"/>
    <w:rsid w:val="00085B96"/>
    <w:rsid w:val="000A107C"/>
    <w:rsid w:val="000B0AF2"/>
    <w:rsid w:val="000B2B1A"/>
    <w:rsid w:val="000B6776"/>
    <w:rsid w:val="000C243E"/>
    <w:rsid w:val="000D04D3"/>
    <w:rsid w:val="000E0417"/>
    <w:rsid w:val="000F4262"/>
    <w:rsid w:val="000F7152"/>
    <w:rsid w:val="00116F17"/>
    <w:rsid w:val="00126308"/>
    <w:rsid w:val="00146C37"/>
    <w:rsid w:val="00153267"/>
    <w:rsid w:val="00165DD3"/>
    <w:rsid w:val="0017181F"/>
    <w:rsid w:val="00174B23"/>
    <w:rsid w:val="00183C1E"/>
    <w:rsid w:val="001B6754"/>
    <w:rsid w:val="001B7BC9"/>
    <w:rsid w:val="001C49DF"/>
    <w:rsid w:val="001D66E2"/>
    <w:rsid w:val="001D6AE1"/>
    <w:rsid w:val="001D7537"/>
    <w:rsid w:val="001E60A3"/>
    <w:rsid w:val="001F2371"/>
    <w:rsid w:val="001F4F35"/>
    <w:rsid w:val="001F7C2D"/>
    <w:rsid w:val="002023F7"/>
    <w:rsid w:val="00221559"/>
    <w:rsid w:val="00240F69"/>
    <w:rsid w:val="0024793F"/>
    <w:rsid w:val="00273986"/>
    <w:rsid w:val="00275934"/>
    <w:rsid w:val="00292271"/>
    <w:rsid w:val="00292A6D"/>
    <w:rsid w:val="002B28D5"/>
    <w:rsid w:val="002D3FE9"/>
    <w:rsid w:val="002E195F"/>
    <w:rsid w:val="002E1F52"/>
    <w:rsid w:val="002E3504"/>
    <w:rsid w:val="002E6868"/>
    <w:rsid w:val="002F3E03"/>
    <w:rsid w:val="0031581F"/>
    <w:rsid w:val="00322A3F"/>
    <w:rsid w:val="00327321"/>
    <w:rsid w:val="003335F4"/>
    <w:rsid w:val="00333706"/>
    <w:rsid w:val="00336657"/>
    <w:rsid w:val="00355085"/>
    <w:rsid w:val="0036469E"/>
    <w:rsid w:val="00370D64"/>
    <w:rsid w:val="0037614C"/>
    <w:rsid w:val="00390098"/>
    <w:rsid w:val="003A03C8"/>
    <w:rsid w:val="003B7D77"/>
    <w:rsid w:val="003C5462"/>
    <w:rsid w:val="003D28EC"/>
    <w:rsid w:val="003D4BAB"/>
    <w:rsid w:val="003E6861"/>
    <w:rsid w:val="00400AF3"/>
    <w:rsid w:val="00414E4B"/>
    <w:rsid w:val="00415E70"/>
    <w:rsid w:val="00423498"/>
    <w:rsid w:val="004268A1"/>
    <w:rsid w:val="0042701D"/>
    <w:rsid w:val="004302CE"/>
    <w:rsid w:val="00464EAC"/>
    <w:rsid w:val="0046761B"/>
    <w:rsid w:val="00482AA5"/>
    <w:rsid w:val="00485351"/>
    <w:rsid w:val="00486019"/>
    <w:rsid w:val="00491908"/>
    <w:rsid w:val="00492EEF"/>
    <w:rsid w:val="004963CD"/>
    <w:rsid w:val="004A6A87"/>
    <w:rsid w:val="004A7B87"/>
    <w:rsid w:val="004D00B7"/>
    <w:rsid w:val="004D4E87"/>
    <w:rsid w:val="004D5CE8"/>
    <w:rsid w:val="004E3B75"/>
    <w:rsid w:val="004F4C3E"/>
    <w:rsid w:val="004F5670"/>
    <w:rsid w:val="005130A0"/>
    <w:rsid w:val="00517016"/>
    <w:rsid w:val="00525F16"/>
    <w:rsid w:val="00533DD8"/>
    <w:rsid w:val="0053692C"/>
    <w:rsid w:val="00581F6D"/>
    <w:rsid w:val="0058590C"/>
    <w:rsid w:val="00587568"/>
    <w:rsid w:val="0059265F"/>
    <w:rsid w:val="0059590C"/>
    <w:rsid w:val="005A5B23"/>
    <w:rsid w:val="005C61E5"/>
    <w:rsid w:val="005C6E91"/>
    <w:rsid w:val="005D26C9"/>
    <w:rsid w:val="005D2718"/>
    <w:rsid w:val="005D4226"/>
    <w:rsid w:val="005D551D"/>
    <w:rsid w:val="005D5CD3"/>
    <w:rsid w:val="005E2341"/>
    <w:rsid w:val="005F01BB"/>
    <w:rsid w:val="006017EA"/>
    <w:rsid w:val="00602207"/>
    <w:rsid w:val="00602226"/>
    <w:rsid w:val="00602F29"/>
    <w:rsid w:val="00603C21"/>
    <w:rsid w:val="006060AA"/>
    <w:rsid w:val="00626C76"/>
    <w:rsid w:val="00632BB5"/>
    <w:rsid w:val="00643737"/>
    <w:rsid w:val="0064762E"/>
    <w:rsid w:val="00651549"/>
    <w:rsid w:val="006529E3"/>
    <w:rsid w:val="00654CDC"/>
    <w:rsid w:val="00657A23"/>
    <w:rsid w:val="006819DF"/>
    <w:rsid w:val="0068793B"/>
    <w:rsid w:val="00695C3D"/>
    <w:rsid w:val="006A55AC"/>
    <w:rsid w:val="006B10D0"/>
    <w:rsid w:val="006B2BA6"/>
    <w:rsid w:val="006B7F8A"/>
    <w:rsid w:val="006E6152"/>
    <w:rsid w:val="006E781A"/>
    <w:rsid w:val="00704226"/>
    <w:rsid w:val="0072475C"/>
    <w:rsid w:val="007355EE"/>
    <w:rsid w:val="00737DCA"/>
    <w:rsid w:val="00741BDB"/>
    <w:rsid w:val="00755691"/>
    <w:rsid w:val="007618E0"/>
    <w:rsid w:val="007731C6"/>
    <w:rsid w:val="00776F98"/>
    <w:rsid w:val="007845F4"/>
    <w:rsid w:val="00792BEA"/>
    <w:rsid w:val="00795614"/>
    <w:rsid w:val="0079658A"/>
    <w:rsid w:val="007A3FBA"/>
    <w:rsid w:val="007C1239"/>
    <w:rsid w:val="007C43A0"/>
    <w:rsid w:val="007C53D8"/>
    <w:rsid w:val="007D4FFD"/>
    <w:rsid w:val="007F651C"/>
    <w:rsid w:val="008068B6"/>
    <w:rsid w:val="008239F8"/>
    <w:rsid w:val="00826AF8"/>
    <w:rsid w:val="00850879"/>
    <w:rsid w:val="00851D99"/>
    <w:rsid w:val="00874D38"/>
    <w:rsid w:val="00893645"/>
    <w:rsid w:val="008A0A7D"/>
    <w:rsid w:val="008A22D2"/>
    <w:rsid w:val="008A5B1E"/>
    <w:rsid w:val="008A6DCA"/>
    <w:rsid w:val="008B1021"/>
    <w:rsid w:val="008B1408"/>
    <w:rsid w:val="008B1D3E"/>
    <w:rsid w:val="008B6B72"/>
    <w:rsid w:val="008D50FF"/>
    <w:rsid w:val="008D546C"/>
    <w:rsid w:val="008E31BB"/>
    <w:rsid w:val="0090056C"/>
    <w:rsid w:val="0090405B"/>
    <w:rsid w:val="0090580D"/>
    <w:rsid w:val="00905CDF"/>
    <w:rsid w:val="00943765"/>
    <w:rsid w:val="00943946"/>
    <w:rsid w:val="00950328"/>
    <w:rsid w:val="009576F2"/>
    <w:rsid w:val="00972D3A"/>
    <w:rsid w:val="009A1E67"/>
    <w:rsid w:val="009A30B5"/>
    <w:rsid w:val="009A5441"/>
    <w:rsid w:val="009A702A"/>
    <w:rsid w:val="009B1742"/>
    <w:rsid w:val="009C2B48"/>
    <w:rsid w:val="009C3291"/>
    <w:rsid w:val="009D453E"/>
    <w:rsid w:val="009D6584"/>
    <w:rsid w:val="00A02A8A"/>
    <w:rsid w:val="00A2187D"/>
    <w:rsid w:val="00A24A2F"/>
    <w:rsid w:val="00A338B2"/>
    <w:rsid w:val="00A70ACF"/>
    <w:rsid w:val="00A7623D"/>
    <w:rsid w:val="00A8722F"/>
    <w:rsid w:val="00AA4031"/>
    <w:rsid w:val="00AA4220"/>
    <w:rsid w:val="00AA6022"/>
    <w:rsid w:val="00AB378E"/>
    <w:rsid w:val="00AB4EC3"/>
    <w:rsid w:val="00AC5D43"/>
    <w:rsid w:val="00AD34AB"/>
    <w:rsid w:val="00AE0952"/>
    <w:rsid w:val="00AE4059"/>
    <w:rsid w:val="00AE6E99"/>
    <w:rsid w:val="00AF3CE4"/>
    <w:rsid w:val="00B01332"/>
    <w:rsid w:val="00B16487"/>
    <w:rsid w:val="00B17661"/>
    <w:rsid w:val="00B27853"/>
    <w:rsid w:val="00B36B31"/>
    <w:rsid w:val="00B45D4D"/>
    <w:rsid w:val="00B528DA"/>
    <w:rsid w:val="00B6093D"/>
    <w:rsid w:val="00B73EDB"/>
    <w:rsid w:val="00B87289"/>
    <w:rsid w:val="00B9299B"/>
    <w:rsid w:val="00B94290"/>
    <w:rsid w:val="00BA6EC1"/>
    <w:rsid w:val="00BB7030"/>
    <w:rsid w:val="00BC2CCC"/>
    <w:rsid w:val="00BC7480"/>
    <w:rsid w:val="00BD3454"/>
    <w:rsid w:val="00BD5A4B"/>
    <w:rsid w:val="00C05002"/>
    <w:rsid w:val="00C06F61"/>
    <w:rsid w:val="00C2328E"/>
    <w:rsid w:val="00C25A01"/>
    <w:rsid w:val="00C3239B"/>
    <w:rsid w:val="00C3245C"/>
    <w:rsid w:val="00C35764"/>
    <w:rsid w:val="00C3768F"/>
    <w:rsid w:val="00C61F6F"/>
    <w:rsid w:val="00C74475"/>
    <w:rsid w:val="00C8084B"/>
    <w:rsid w:val="00C838C9"/>
    <w:rsid w:val="00C8391A"/>
    <w:rsid w:val="00C85B42"/>
    <w:rsid w:val="00CC7589"/>
    <w:rsid w:val="00D00799"/>
    <w:rsid w:val="00D12A71"/>
    <w:rsid w:val="00D21C5C"/>
    <w:rsid w:val="00D56C72"/>
    <w:rsid w:val="00D62633"/>
    <w:rsid w:val="00D62EDD"/>
    <w:rsid w:val="00D64E1A"/>
    <w:rsid w:val="00D72BE6"/>
    <w:rsid w:val="00D95AB2"/>
    <w:rsid w:val="00DB549F"/>
    <w:rsid w:val="00DC79BC"/>
    <w:rsid w:val="00DD1A93"/>
    <w:rsid w:val="00DD46F0"/>
    <w:rsid w:val="00DE5FE0"/>
    <w:rsid w:val="00DF27F1"/>
    <w:rsid w:val="00DF3E0F"/>
    <w:rsid w:val="00DF50CF"/>
    <w:rsid w:val="00E020BB"/>
    <w:rsid w:val="00E20D3C"/>
    <w:rsid w:val="00E24616"/>
    <w:rsid w:val="00E2667D"/>
    <w:rsid w:val="00E27C48"/>
    <w:rsid w:val="00E5199D"/>
    <w:rsid w:val="00E726C8"/>
    <w:rsid w:val="00E85088"/>
    <w:rsid w:val="00E874BB"/>
    <w:rsid w:val="00EA6A0E"/>
    <w:rsid w:val="00EC1D0A"/>
    <w:rsid w:val="00EC1F1A"/>
    <w:rsid w:val="00ED3DF0"/>
    <w:rsid w:val="00EE04B0"/>
    <w:rsid w:val="00EF1E03"/>
    <w:rsid w:val="00EF52FD"/>
    <w:rsid w:val="00EF5AA1"/>
    <w:rsid w:val="00F04F23"/>
    <w:rsid w:val="00F05406"/>
    <w:rsid w:val="00F06092"/>
    <w:rsid w:val="00F16DE2"/>
    <w:rsid w:val="00F23281"/>
    <w:rsid w:val="00F5070C"/>
    <w:rsid w:val="00F5343E"/>
    <w:rsid w:val="00F617B4"/>
    <w:rsid w:val="00F65785"/>
    <w:rsid w:val="00F66124"/>
    <w:rsid w:val="00F66765"/>
    <w:rsid w:val="00F71EBE"/>
    <w:rsid w:val="00F75170"/>
    <w:rsid w:val="00F8026B"/>
    <w:rsid w:val="00F91262"/>
    <w:rsid w:val="00F92F01"/>
    <w:rsid w:val="00F93231"/>
    <w:rsid w:val="00F93E80"/>
    <w:rsid w:val="00FA2794"/>
    <w:rsid w:val="00FB6065"/>
    <w:rsid w:val="00FC04CD"/>
    <w:rsid w:val="00FC6A64"/>
    <w:rsid w:val="00FD1968"/>
    <w:rsid w:val="00FF23B6"/>
    <w:rsid w:val="00FF2924"/>
    <w:rsid w:val="00FF6E5C"/>
    <w:rsid w:val="01EE7588"/>
    <w:rsid w:val="03690AC2"/>
    <w:rsid w:val="4E597CB5"/>
    <w:rsid w:val="523B1C8F"/>
    <w:rsid w:val="56A714F7"/>
    <w:rsid w:val="7FBD0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DFE3E6-60F8-4ABE-B121-E8E9F385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line="600" w:lineRule="exact"/>
      <w:jc w:val="center"/>
      <w:outlineLvl w:val="0"/>
    </w:pPr>
    <w:rPr>
      <w:rFonts w:ascii="Times New Roman" w:eastAsia="黑体" w:hAnsi="Times New Roman"/>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rFonts w:ascii="Calibri" w:hAnsi="Calibri"/>
      <w:b/>
      <w:bCs/>
      <w:szCs w:val="22"/>
    </w:rPr>
  </w:style>
  <w:style w:type="paragraph" w:styleId="a4">
    <w:name w:val="annotation text"/>
    <w:basedOn w:val="a"/>
    <w:link w:val="Char0"/>
    <w:uiPriority w:val="99"/>
    <w:unhideWhenUsed/>
    <w:qFormat/>
    <w:pPr>
      <w:jc w:val="left"/>
    </w:pPr>
    <w:rPr>
      <w:rFonts w:ascii="Times New Roman" w:hAnsi="Times New Roman"/>
      <w:szCs w:val="24"/>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unhideWhenUsed/>
    <w:qFormat/>
    <w:rPr>
      <w:sz w:val="21"/>
      <w:szCs w:val="21"/>
    </w:rPr>
  </w:style>
  <w:style w:type="character" w:customStyle="1" w:styleId="1Char">
    <w:name w:val="标题 1 Char"/>
    <w:basedOn w:val="a0"/>
    <w:link w:val="1"/>
    <w:uiPriority w:val="9"/>
    <w:qFormat/>
    <w:rPr>
      <w:rFonts w:ascii="Times New Roman" w:eastAsia="黑体" w:hAnsi="Times New Roman" w:cs="Times New Roman"/>
      <w:bCs/>
      <w:kern w:val="44"/>
      <w:sz w:val="32"/>
      <w:szCs w:val="32"/>
    </w:rPr>
  </w:style>
  <w:style w:type="paragraph" w:styleId="a9">
    <w:name w:val="List Paragraph"/>
    <w:basedOn w:val="a"/>
    <w:link w:val="Char4"/>
    <w:uiPriority w:val="34"/>
    <w:qFormat/>
    <w:pPr>
      <w:ind w:firstLineChars="200" w:firstLine="420"/>
    </w:pPr>
  </w:style>
  <w:style w:type="character" w:customStyle="1" w:styleId="Char4">
    <w:name w:val="列出段落 Char"/>
    <w:link w:val="a9"/>
    <w:uiPriority w:val="34"/>
    <w:qFormat/>
    <w:rPr>
      <w:rFonts w:ascii="Calibri" w:eastAsia="宋体" w:hAnsi="Calibri" w:cs="Times New Roman"/>
    </w:rPr>
  </w:style>
  <w:style w:type="character" w:customStyle="1" w:styleId="Char0">
    <w:name w:val="批注文字 Char"/>
    <w:basedOn w:val="a0"/>
    <w:link w:val="a4"/>
    <w:uiPriority w:val="99"/>
    <w:qFormat/>
    <w:rPr>
      <w:rFonts w:ascii="Times New Roman" w:eastAsia="宋体" w:hAnsi="Times New Roman" w:cs="Times New Roman"/>
      <w:szCs w:val="24"/>
    </w:rPr>
  </w:style>
  <w:style w:type="character" w:customStyle="1" w:styleId="Char1">
    <w:name w:val="批注框文本 Char"/>
    <w:basedOn w:val="a0"/>
    <w:link w:val="a5"/>
    <w:uiPriority w:val="99"/>
    <w:semiHidden/>
    <w:rPr>
      <w:rFonts w:ascii="Calibri" w:eastAsia="宋体" w:hAnsi="Calibri" w:cs="Times New Roman"/>
      <w:sz w:val="18"/>
      <w:szCs w:val="18"/>
    </w:rPr>
  </w:style>
  <w:style w:type="character" w:customStyle="1" w:styleId="Char3">
    <w:name w:val="页眉 Char"/>
    <w:basedOn w:val="a0"/>
    <w:link w:val="a7"/>
    <w:uiPriority w:val="99"/>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
    <w:name w:val="批注主题 Char"/>
    <w:basedOn w:val="Char0"/>
    <w:link w:val="a3"/>
    <w:uiPriority w:val="99"/>
    <w:semiHidden/>
    <w:qFormat/>
    <w:rPr>
      <w:rFonts w:ascii="Calibri" w:eastAsia="宋体" w:hAnsi="Calibri"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AF099C-EEB0-429F-9C09-1B3C7F66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2021-09-10T04:16:00Z</dcterms:created>
  <dcterms:modified xsi:type="dcterms:W3CDTF">2021-09-17T02:42:00Z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