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A95" w:rsidRDefault="00B43A95">
      <w:pPr>
        <w:spacing w:line="360" w:lineRule="auto"/>
        <w:ind w:firstLineChars="200" w:firstLine="480"/>
        <w:jc w:val="both"/>
        <w:rPr>
          <w:rFonts w:ascii="Times New Roman" w:hAnsi="Times New Roman" w:cs="Times New Roman"/>
          <w:sz w:val="24"/>
          <w:szCs w:val="24"/>
        </w:rPr>
      </w:pPr>
    </w:p>
    <w:p w:rsidR="00B43A95" w:rsidRDefault="00B43A95">
      <w:pPr>
        <w:spacing w:line="360" w:lineRule="auto"/>
        <w:ind w:firstLineChars="200" w:firstLine="480"/>
        <w:jc w:val="both"/>
        <w:rPr>
          <w:rFonts w:ascii="Times New Roman" w:hAnsi="Times New Roman" w:cs="Times New Roman"/>
          <w:sz w:val="24"/>
          <w:szCs w:val="24"/>
        </w:rPr>
      </w:pPr>
    </w:p>
    <w:p w:rsidR="00B43A95" w:rsidRDefault="00B43A95">
      <w:pPr>
        <w:spacing w:line="360" w:lineRule="auto"/>
        <w:jc w:val="both"/>
        <w:rPr>
          <w:rFonts w:ascii="Times New Roman" w:hAnsi="Times New Roman" w:cs="Times New Roman"/>
          <w:b/>
          <w:sz w:val="48"/>
        </w:rPr>
      </w:pPr>
    </w:p>
    <w:p w:rsidR="00B43A95" w:rsidRDefault="00AB5A93">
      <w:pPr>
        <w:spacing w:line="360" w:lineRule="auto"/>
        <w:jc w:val="center"/>
        <w:rPr>
          <w:rFonts w:ascii="Times New Roman" w:hAnsi="Times New Roman" w:cs="Times New Roman"/>
          <w:b/>
          <w:sz w:val="48"/>
        </w:rPr>
      </w:pPr>
      <w:r>
        <w:rPr>
          <w:rFonts w:ascii="Times New Roman" w:hAnsi="Times New Roman" w:cs="Times New Roman" w:hint="eastAsia"/>
          <w:b/>
          <w:sz w:val="48"/>
        </w:rPr>
        <w:t>广发上证</w:t>
      </w:r>
      <w:r>
        <w:rPr>
          <w:rFonts w:ascii="Times New Roman" w:hAnsi="Times New Roman" w:cs="Times New Roman" w:hint="eastAsia"/>
          <w:b/>
          <w:sz w:val="48"/>
        </w:rPr>
        <w:t>AAA</w:t>
      </w:r>
      <w:r>
        <w:rPr>
          <w:rFonts w:ascii="Times New Roman" w:hAnsi="Times New Roman" w:cs="Times New Roman" w:hint="eastAsia"/>
          <w:b/>
          <w:sz w:val="48"/>
        </w:rPr>
        <w:t>科技创新公司债交易型开放式指数证券投资基金</w:t>
      </w:r>
    </w:p>
    <w:p w:rsidR="00B43A95" w:rsidRDefault="00AB5A93">
      <w:pPr>
        <w:spacing w:line="360" w:lineRule="auto"/>
        <w:jc w:val="center"/>
        <w:rPr>
          <w:rFonts w:ascii="Times New Roman" w:hAnsi="Times New Roman" w:cs="Times New Roman"/>
          <w:b/>
          <w:sz w:val="48"/>
        </w:rPr>
      </w:pPr>
      <w:r>
        <w:rPr>
          <w:rFonts w:ascii="Times New Roman" w:hAnsi="Times New Roman" w:cs="Times New Roman"/>
          <w:b/>
          <w:sz w:val="48"/>
        </w:rPr>
        <w:t>托管协议</w:t>
      </w:r>
    </w:p>
    <w:p w:rsidR="00B43A95" w:rsidRDefault="00B43A95">
      <w:pPr>
        <w:spacing w:line="360" w:lineRule="auto"/>
        <w:jc w:val="both"/>
        <w:rPr>
          <w:rFonts w:ascii="Times New Roman" w:hAnsi="Times New Roman" w:cs="Times New Roman"/>
          <w:b/>
          <w:sz w:val="48"/>
        </w:rPr>
      </w:pPr>
    </w:p>
    <w:p w:rsidR="00B43A95" w:rsidRDefault="00B43A95">
      <w:pPr>
        <w:spacing w:line="360" w:lineRule="auto"/>
        <w:jc w:val="both"/>
        <w:rPr>
          <w:rFonts w:ascii="Times New Roman" w:hAnsi="Times New Roman" w:cs="Times New Roman"/>
          <w:b/>
          <w:sz w:val="48"/>
        </w:rPr>
      </w:pPr>
    </w:p>
    <w:p w:rsidR="00B43A95" w:rsidRDefault="00B43A95">
      <w:pPr>
        <w:spacing w:line="360" w:lineRule="auto"/>
        <w:jc w:val="both"/>
        <w:rPr>
          <w:rFonts w:ascii="Times New Roman" w:hAnsi="Times New Roman" w:cs="Times New Roman"/>
          <w:b/>
          <w:sz w:val="48"/>
        </w:rPr>
      </w:pPr>
    </w:p>
    <w:p w:rsidR="00B43A95" w:rsidRDefault="00B43A95">
      <w:pPr>
        <w:spacing w:line="360" w:lineRule="auto"/>
        <w:jc w:val="both"/>
        <w:rPr>
          <w:rFonts w:ascii="Times New Roman" w:hAnsi="Times New Roman" w:cs="Times New Roman"/>
          <w:b/>
          <w:sz w:val="48"/>
        </w:rPr>
      </w:pPr>
    </w:p>
    <w:p w:rsidR="00B43A95" w:rsidRDefault="00B43A95">
      <w:pPr>
        <w:spacing w:line="360" w:lineRule="auto"/>
        <w:jc w:val="both"/>
        <w:rPr>
          <w:rFonts w:ascii="Times New Roman" w:hAnsi="Times New Roman" w:cs="Times New Roman"/>
          <w:b/>
          <w:sz w:val="48"/>
        </w:rPr>
      </w:pPr>
    </w:p>
    <w:p w:rsidR="00B43A95" w:rsidRDefault="00AB5A93">
      <w:pPr>
        <w:spacing w:line="360" w:lineRule="auto"/>
        <w:ind w:right="120" w:firstLineChars="500" w:firstLine="1807"/>
        <w:jc w:val="both"/>
        <w:rPr>
          <w:rFonts w:ascii="Times New Roman" w:hAnsi="Times New Roman" w:cs="Times New Roman"/>
          <w:b/>
          <w:sz w:val="36"/>
        </w:rPr>
      </w:pPr>
      <w:r>
        <w:rPr>
          <w:rFonts w:ascii="Times New Roman" w:hAnsi="Times New Roman" w:cs="Times New Roman"/>
          <w:b/>
          <w:sz w:val="36"/>
        </w:rPr>
        <w:t>基金管理人：</w:t>
      </w:r>
      <w:r>
        <w:rPr>
          <w:rFonts w:ascii="Times New Roman" w:hAnsi="Times New Roman" w:cs="Times New Roman" w:hint="eastAsia"/>
          <w:b/>
          <w:sz w:val="36"/>
        </w:rPr>
        <w:t>广发基金管理有限公司</w:t>
      </w:r>
    </w:p>
    <w:p w:rsidR="00B43A95" w:rsidRDefault="00AB5A93">
      <w:pPr>
        <w:spacing w:line="360" w:lineRule="auto"/>
        <w:ind w:right="120" w:firstLineChars="500" w:firstLine="1807"/>
        <w:jc w:val="both"/>
        <w:rPr>
          <w:rFonts w:ascii="Times New Roman" w:hAnsi="Times New Roman" w:cs="Times New Roman"/>
          <w:b/>
          <w:sz w:val="36"/>
        </w:rPr>
      </w:pPr>
      <w:r>
        <w:rPr>
          <w:rFonts w:ascii="Times New Roman" w:hAnsi="Times New Roman" w:cs="Times New Roman"/>
          <w:b/>
          <w:sz w:val="36"/>
        </w:rPr>
        <w:t>基金托管人：国金证券股份有限公司</w:t>
      </w:r>
    </w:p>
    <w:p w:rsidR="00B43A95" w:rsidRDefault="00B43A95">
      <w:pPr>
        <w:spacing w:line="360" w:lineRule="auto"/>
        <w:ind w:firstLineChars="200" w:firstLine="480"/>
        <w:jc w:val="both"/>
        <w:rPr>
          <w:rFonts w:ascii="Times New Roman" w:hAnsi="Times New Roman" w:cs="Times New Roman"/>
          <w:sz w:val="24"/>
          <w:szCs w:val="24"/>
        </w:rPr>
        <w:sectPr w:rsidR="00B43A95">
          <w:headerReference w:type="default" r:id="rId8"/>
          <w:type w:val="continuous"/>
          <w:pgSz w:w="11910" w:h="16840"/>
          <w:pgMar w:top="1580" w:right="1560" w:bottom="280" w:left="1680" w:header="737" w:footer="992" w:gutter="0"/>
          <w:cols w:space="720"/>
          <w:docGrid w:linePitch="299"/>
        </w:sectPr>
      </w:pPr>
    </w:p>
    <w:p w:rsidR="00B43A95" w:rsidRDefault="00AB5A93">
      <w:pPr>
        <w:pStyle w:val="2"/>
        <w:tabs>
          <w:tab w:val="left" w:pos="837"/>
        </w:tabs>
        <w:spacing w:line="360" w:lineRule="auto"/>
        <w:ind w:right="118"/>
        <w:rPr>
          <w:rFonts w:ascii="Times New Roman" w:eastAsia="宋体" w:hAnsi="Times New Roman" w:cs="Times New Roman"/>
          <w:bCs w:val="0"/>
          <w:sz w:val="21"/>
          <w:szCs w:val="21"/>
        </w:rPr>
      </w:pPr>
      <w:r>
        <w:rPr>
          <w:rFonts w:ascii="Times New Roman" w:eastAsia="宋体" w:hAnsi="Times New Roman" w:cs="Times New Roman" w:hint="eastAsia"/>
          <w:bCs w:val="0"/>
          <w:sz w:val="21"/>
          <w:szCs w:val="21"/>
        </w:rPr>
        <w:lastRenderedPageBreak/>
        <w:t>目</w:t>
      </w:r>
      <w:r>
        <w:rPr>
          <w:rFonts w:ascii="Times New Roman" w:eastAsia="宋体" w:hAnsi="Times New Roman" w:cs="Times New Roman"/>
          <w:bCs w:val="0"/>
          <w:sz w:val="21"/>
          <w:szCs w:val="21"/>
        </w:rPr>
        <w:t xml:space="preserve">    </w:t>
      </w:r>
      <w:r>
        <w:rPr>
          <w:rFonts w:ascii="Times New Roman" w:eastAsia="宋体" w:hAnsi="Times New Roman" w:cs="Times New Roman" w:hint="eastAsia"/>
          <w:bCs w:val="0"/>
          <w:sz w:val="21"/>
          <w:szCs w:val="21"/>
        </w:rPr>
        <w:t>录</w:t>
      </w:r>
    </w:p>
    <w:sdt>
      <w:sdtPr>
        <w:rPr>
          <w:rFonts w:ascii="Times New Roman" w:hAnsi="Times New Roman" w:cs="Times New Roman"/>
          <w:b/>
          <w:bCs/>
          <w:sz w:val="22"/>
          <w:szCs w:val="22"/>
        </w:rPr>
        <w:id w:val="769508220"/>
        <w:docPartObj>
          <w:docPartGallery w:val="Table of Contents"/>
          <w:docPartUnique/>
        </w:docPartObj>
      </w:sdtPr>
      <w:sdtEndPr/>
      <w:sdtContent>
        <w:p w:rsidR="00B43A95" w:rsidRDefault="00AB5A93">
          <w:pPr>
            <w:pStyle w:val="10"/>
            <w:tabs>
              <w:tab w:val="right" w:leader="dot" w:pos="8660"/>
            </w:tabs>
            <w:jc w:val="both"/>
            <w:rPr>
              <w:rFonts w:ascii="Times New Roman" w:hAnsi="Times New Roman" w:cs="Times New Roman"/>
              <w:noProof/>
              <w:kern w:val="2"/>
              <w:lang w:val="en-US" w:bidi="ar-SA"/>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hyperlink w:anchor="_Toc516502486" w:history="1">
            <w:r>
              <w:rPr>
                <w:rStyle w:val="aa"/>
                <w:rFonts w:ascii="Times New Roman" w:hAnsi="Times New Roman" w:cs="Times New Roman" w:hint="eastAsia"/>
                <w:noProof/>
                <w:lang w:val="en-US"/>
              </w:rPr>
              <w:t>一、基金托管协议当事人</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_Toc516502486 \h </w:instrText>
            </w:r>
            <w:r>
              <w:rPr>
                <w:rFonts w:ascii="Times New Roman" w:hAnsi="Times New Roman" w:cs="Times New Roman"/>
                <w:noProof/>
              </w:rPr>
            </w:r>
            <w:r>
              <w:rPr>
                <w:rFonts w:ascii="Times New Roman" w:hAnsi="Times New Roman" w:cs="Times New Roman"/>
                <w:noProof/>
              </w:rPr>
              <w:fldChar w:fldCharType="separate"/>
            </w:r>
            <w:r w:rsidR="002478AE">
              <w:rPr>
                <w:rFonts w:ascii="Times New Roman" w:hAnsi="Times New Roman" w:cs="Times New Roman"/>
                <w:noProof/>
              </w:rPr>
              <w:t>2</w:t>
            </w:r>
            <w:r>
              <w:rPr>
                <w:rFonts w:ascii="Times New Roman" w:hAnsi="Times New Roman" w:cs="Times New Roman"/>
                <w:noProof/>
              </w:rPr>
              <w:fldChar w:fldCharType="end"/>
            </w:r>
          </w:hyperlink>
        </w:p>
        <w:p w:rsidR="00B43A95" w:rsidRDefault="007C3DEB">
          <w:pPr>
            <w:pStyle w:val="10"/>
            <w:tabs>
              <w:tab w:val="right" w:leader="dot" w:pos="8660"/>
            </w:tabs>
            <w:jc w:val="both"/>
            <w:rPr>
              <w:rFonts w:ascii="Times New Roman" w:hAnsi="Times New Roman" w:cs="Times New Roman"/>
              <w:noProof/>
              <w:kern w:val="2"/>
              <w:lang w:val="en-US" w:bidi="ar-SA"/>
            </w:rPr>
          </w:pPr>
          <w:hyperlink w:anchor="_Toc516502487" w:history="1">
            <w:r w:rsidR="00AB5A93">
              <w:rPr>
                <w:rStyle w:val="aa"/>
                <w:rFonts w:ascii="Times New Roman" w:hAnsi="Times New Roman" w:cs="Times New Roman" w:hint="eastAsia"/>
                <w:noProof/>
                <w:lang w:val="en-US"/>
              </w:rPr>
              <w:t>二、基金托管协议的依据、目的和原则</w:t>
            </w:r>
            <w:r w:rsidR="00AB5A93">
              <w:rPr>
                <w:rFonts w:ascii="Times New Roman" w:hAnsi="Times New Roman" w:cs="Times New Roman"/>
                <w:noProof/>
              </w:rPr>
              <w:tab/>
            </w:r>
            <w:r w:rsidR="00AB5A93">
              <w:rPr>
                <w:rFonts w:ascii="Times New Roman" w:hAnsi="Times New Roman" w:cs="Times New Roman"/>
                <w:noProof/>
              </w:rPr>
              <w:fldChar w:fldCharType="begin"/>
            </w:r>
            <w:r w:rsidR="00AB5A93">
              <w:rPr>
                <w:rFonts w:ascii="Times New Roman" w:hAnsi="Times New Roman" w:cs="Times New Roman"/>
                <w:noProof/>
              </w:rPr>
              <w:instrText xml:space="preserve"> PAGEREF _Toc516502487 \h </w:instrText>
            </w:r>
            <w:r w:rsidR="00AB5A93">
              <w:rPr>
                <w:rFonts w:ascii="Times New Roman" w:hAnsi="Times New Roman" w:cs="Times New Roman"/>
                <w:noProof/>
              </w:rPr>
            </w:r>
            <w:r w:rsidR="00AB5A93">
              <w:rPr>
                <w:rFonts w:ascii="Times New Roman" w:hAnsi="Times New Roman" w:cs="Times New Roman"/>
                <w:noProof/>
              </w:rPr>
              <w:fldChar w:fldCharType="separate"/>
            </w:r>
            <w:r w:rsidR="002478AE">
              <w:rPr>
                <w:rFonts w:ascii="Times New Roman" w:hAnsi="Times New Roman" w:cs="Times New Roman"/>
                <w:noProof/>
              </w:rPr>
              <w:t>3</w:t>
            </w:r>
            <w:r w:rsidR="00AB5A93">
              <w:rPr>
                <w:rFonts w:ascii="Times New Roman" w:hAnsi="Times New Roman" w:cs="Times New Roman"/>
                <w:noProof/>
              </w:rPr>
              <w:fldChar w:fldCharType="end"/>
            </w:r>
          </w:hyperlink>
        </w:p>
        <w:p w:rsidR="00B43A95" w:rsidRDefault="007C3DEB">
          <w:pPr>
            <w:pStyle w:val="10"/>
            <w:tabs>
              <w:tab w:val="right" w:leader="dot" w:pos="8660"/>
            </w:tabs>
            <w:jc w:val="both"/>
            <w:rPr>
              <w:rFonts w:ascii="Times New Roman" w:hAnsi="Times New Roman" w:cs="Times New Roman"/>
              <w:noProof/>
              <w:kern w:val="2"/>
              <w:lang w:val="en-US" w:bidi="ar-SA"/>
            </w:rPr>
          </w:pPr>
          <w:hyperlink w:anchor="_Toc516502488" w:history="1">
            <w:r w:rsidR="00AB5A93">
              <w:rPr>
                <w:rStyle w:val="aa"/>
                <w:rFonts w:ascii="Times New Roman" w:hAnsi="Times New Roman" w:cs="Times New Roman" w:hint="eastAsia"/>
                <w:noProof/>
                <w:lang w:val="en-US"/>
              </w:rPr>
              <w:t>三、基金托管人对基金管理人的业务监督和核查</w:t>
            </w:r>
            <w:r w:rsidR="00AB5A93">
              <w:rPr>
                <w:rFonts w:ascii="Times New Roman" w:hAnsi="Times New Roman" w:cs="Times New Roman"/>
                <w:noProof/>
              </w:rPr>
              <w:tab/>
            </w:r>
            <w:r w:rsidR="00AB5A93">
              <w:rPr>
                <w:rFonts w:ascii="Times New Roman" w:hAnsi="Times New Roman" w:cs="Times New Roman"/>
                <w:noProof/>
              </w:rPr>
              <w:fldChar w:fldCharType="begin"/>
            </w:r>
            <w:r w:rsidR="00AB5A93">
              <w:rPr>
                <w:rFonts w:ascii="Times New Roman" w:hAnsi="Times New Roman" w:cs="Times New Roman"/>
                <w:noProof/>
              </w:rPr>
              <w:instrText xml:space="preserve"> PAGEREF _Toc516502488 \h </w:instrText>
            </w:r>
            <w:r w:rsidR="00AB5A93">
              <w:rPr>
                <w:rFonts w:ascii="Times New Roman" w:hAnsi="Times New Roman" w:cs="Times New Roman"/>
                <w:noProof/>
              </w:rPr>
            </w:r>
            <w:r w:rsidR="00AB5A93">
              <w:rPr>
                <w:rFonts w:ascii="Times New Roman" w:hAnsi="Times New Roman" w:cs="Times New Roman"/>
                <w:noProof/>
              </w:rPr>
              <w:fldChar w:fldCharType="separate"/>
            </w:r>
            <w:r w:rsidR="002478AE">
              <w:rPr>
                <w:rFonts w:ascii="Times New Roman" w:hAnsi="Times New Roman" w:cs="Times New Roman"/>
                <w:noProof/>
              </w:rPr>
              <w:t>3</w:t>
            </w:r>
            <w:r w:rsidR="00AB5A93">
              <w:rPr>
                <w:rFonts w:ascii="Times New Roman" w:hAnsi="Times New Roman" w:cs="Times New Roman"/>
                <w:noProof/>
              </w:rPr>
              <w:fldChar w:fldCharType="end"/>
            </w:r>
          </w:hyperlink>
        </w:p>
        <w:p w:rsidR="00B43A95" w:rsidRDefault="007C3DEB">
          <w:pPr>
            <w:pStyle w:val="10"/>
            <w:tabs>
              <w:tab w:val="right" w:leader="dot" w:pos="8660"/>
            </w:tabs>
            <w:jc w:val="both"/>
            <w:rPr>
              <w:rFonts w:ascii="Times New Roman" w:hAnsi="Times New Roman" w:cs="Times New Roman"/>
              <w:noProof/>
              <w:kern w:val="2"/>
              <w:lang w:val="en-US" w:bidi="ar-SA"/>
            </w:rPr>
          </w:pPr>
          <w:hyperlink w:anchor="_Toc516502489" w:history="1">
            <w:r w:rsidR="00AB5A93">
              <w:rPr>
                <w:rStyle w:val="aa"/>
                <w:rFonts w:ascii="Times New Roman" w:hAnsi="Times New Roman" w:cs="Times New Roman" w:hint="eastAsia"/>
                <w:noProof/>
                <w:lang w:val="en-US"/>
              </w:rPr>
              <w:t>四、基金管理人对基金托管人的业务</w:t>
            </w:r>
            <w:bookmarkStart w:id="0" w:name="_GoBack"/>
            <w:bookmarkEnd w:id="0"/>
            <w:r w:rsidR="00AB5A93">
              <w:rPr>
                <w:rStyle w:val="aa"/>
                <w:rFonts w:ascii="Times New Roman" w:hAnsi="Times New Roman" w:cs="Times New Roman" w:hint="eastAsia"/>
                <w:noProof/>
                <w:lang w:val="en-US"/>
              </w:rPr>
              <w:t>核查</w:t>
            </w:r>
            <w:r w:rsidR="00AB5A93">
              <w:rPr>
                <w:rFonts w:ascii="Times New Roman" w:hAnsi="Times New Roman" w:cs="Times New Roman"/>
                <w:noProof/>
              </w:rPr>
              <w:tab/>
            </w:r>
            <w:r w:rsidR="00AB5A93">
              <w:rPr>
                <w:rFonts w:ascii="Times New Roman" w:hAnsi="Times New Roman" w:cs="Times New Roman"/>
                <w:noProof/>
              </w:rPr>
              <w:fldChar w:fldCharType="begin"/>
            </w:r>
            <w:r w:rsidR="00AB5A93">
              <w:rPr>
                <w:rFonts w:ascii="Times New Roman" w:hAnsi="Times New Roman" w:cs="Times New Roman"/>
                <w:noProof/>
              </w:rPr>
              <w:instrText xml:space="preserve"> PAGEREF _Toc516502489 \h </w:instrText>
            </w:r>
            <w:r w:rsidR="00AB5A93">
              <w:rPr>
                <w:rFonts w:ascii="Times New Roman" w:hAnsi="Times New Roman" w:cs="Times New Roman"/>
                <w:noProof/>
              </w:rPr>
            </w:r>
            <w:r w:rsidR="00AB5A93">
              <w:rPr>
                <w:rFonts w:ascii="Times New Roman" w:hAnsi="Times New Roman" w:cs="Times New Roman"/>
                <w:noProof/>
              </w:rPr>
              <w:fldChar w:fldCharType="separate"/>
            </w:r>
            <w:r w:rsidR="002478AE">
              <w:rPr>
                <w:rFonts w:ascii="Times New Roman" w:hAnsi="Times New Roman" w:cs="Times New Roman"/>
                <w:noProof/>
              </w:rPr>
              <w:t>7</w:t>
            </w:r>
            <w:r w:rsidR="00AB5A93">
              <w:rPr>
                <w:rFonts w:ascii="Times New Roman" w:hAnsi="Times New Roman" w:cs="Times New Roman"/>
                <w:noProof/>
              </w:rPr>
              <w:fldChar w:fldCharType="end"/>
            </w:r>
          </w:hyperlink>
        </w:p>
        <w:p w:rsidR="00B43A95" w:rsidRDefault="007C3DEB">
          <w:pPr>
            <w:pStyle w:val="10"/>
            <w:tabs>
              <w:tab w:val="right" w:leader="dot" w:pos="8660"/>
            </w:tabs>
            <w:jc w:val="both"/>
            <w:rPr>
              <w:rFonts w:ascii="Times New Roman" w:hAnsi="Times New Roman" w:cs="Times New Roman"/>
              <w:noProof/>
              <w:kern w:val="2"/>
              <w:lang w:val="en-US" w:bidi="ar-SA"/>
            </w:rPr>
          </w:pPr>
          <w:hyperlink w:anchor="_Toc516502490" w:history="1">
            <w:r w:rsidR="00AB5A93">
              <w:rPr>
                <w:rStyle w:val="aa"/>
                <w:rFonts w:ascii="Times New Roman" w:hAnsi="Times New Roman" w:cs="Times New Roman" w:hint="eastAsia"/>
                <w:noProof/>
                <w:lang w:val="en-US"/>
              </w:rPr>
              <w:t>五、基金财产的保管</w:t>
            </w:r>
            <w:r w:rsidR="00AB5A93">
              <w:rPr>
                <w:rFonts w:ascii="Times New Roman" w:hAnsi="Times New Roman" w:cs="Times New Roman"/>
                <w:noProof/>
              </w:rPr>
              <w:tab/>
            </w:r>
            <w:r w:rsidR="00AB5A93">
              <w:rPr>
                <w:rFonts w:ascii="Times New Roman" w:hAnsi="Times New Roman" w:cs="Times New Roman"/>
                <w:noProof/>
              </w:rPr>
              <w:fldChar w:fldCharType="begin"/>
            </w:r>
            <w:r w:rsidR="00AB5A93">
              <w:rPr>
                <w:rFonts w:ascii="Times New Roman" w:hAnsi="Times New Roman" w:cs="Times New Roman"/>
                <w:noProof/>
              </w:rPr>
              <w:instrText xml:space="preserve"> PAGEREF _Toc516502490 \h </w:instrText>
            </w:r>
            <w:r w:rsidR="00AB5A93">
              <w:rPr>
                <w:rFonts w:ascii="Times New Roman" w:hAnsi="Times New Roman" w:cs="Times New Roman"/>
                <w:noProof/>
              </w:rPr>
            </w:r>
            <w:r w:rsidR="00AB5A93">
              <w:rPr>
                <w:rFonts w:ascii="Times New Roman" w:hAnsi="Times New Roman" w:cs="Times New Roman"/>
                <w:noProof/>
              </w:rPr>
              <w:fldChar w:fldCharType="separate"/>
            </w:r>
            <w:r w:rsidR="002478AE">
              <w:rPr>
                <w:rFonts w:ascii="Times New Roman" w:hAnsi="Times New Roman" w:cs="Times New Roman"/>
                <w:noProof/>
              </w:rPr>
              <w:t>7</w:t>
            </w:r>
            <w:r w:rsidR="00AB5A93">
              <w:rPr>
                <w:rFonts w:ascii="Times New Roman" w:hAnsi="Times New Roman" w:cs="Times New Roman"/>
                <w:noProof/>
              </w:rPr>
              <w:fldChar w:fldCharType="end"/>
            </w:r>
          </w:hyperlink>
        </w:p>
        <w:p w:rsidR="00B43A95" w:rsidRDefault="007C3DEB">
          <w:pPr>
            <w:pStyle w:val="10"/>
            <w:tabs>
              <w:tab w:val="right" w:leader="dot" w:pos="8660"/>
            </w:tabs>
            <w:jc w:val="both"/>
            <w:rPr>
              <w:rFonts w:ascii="Times New Roman" w:hAnsi="Times New Roman" w:cs="Times New Roman"/>
              <w:noProof/>
              <w:kern w:val="2"/>
              <w:lang w:val="en-US" w:bidi="ar-SA"/>
            </w:rPr>
          </w:pPr>
          <w:hyperlink w:anchor="_Toc516502491" w:history="1">
            <w:r w:rsidR="00AB5A93">
              <w:rPr>
                <w:rStyle w:val="aa"/>
                <w:rFonts w:ascii="Times New Roman" w:hAnsi="Times New Roman" w:cs="Times New Roman" w:hint="eastAsia"/>
                <w:noProof/>
                <w:lang w:val="en-US"/>
              </w:rPr>
              <w:t>六、指令的发送、确认及执行</w:t>
            </w:r>
            <w:r w:rsidR="00AB5A93">
              <w:rPr>
                <w:rFonts w:ascii="Times New Roman" w:hAnsi="Times New Roman" w:cs="Times New Roman"/>
                <w:noProof/>
              </w:rPr>
              <w:tab/>
            </w:r>
            <w:r w:rsidR="00AB5A93">
              <w:rPr>
                <w:rFonts w:ascii="Times New Roman" w:hAnsi="Times New Roman" w:cs="Times New Roman"/>
                <w:noProof/>
              </w:rPr>
              <w:fldChar w:fldCharType="begin"/>
            </w:r>
            <w:r w:rsidR="00AB5A93">
              <w:rPr>
                <w:rFonts w:ascii="Times New Roman" w:hAnsi="Times New Roman" w:cs="Times New Roman"/>
                <w:noProof/>
              </w:rPr>
              <w:instrText xml:space="preserve"> PAGEREF _Toc516502491 \h </w:instrText>
            </w:r>
            <w:r w:rsidR="00AB5A93">
              <w:rPr>
                <w:rFonts w:ascii="Times New Roman" w:hAnsi="Times New Roman" w:cs="Times New Roman"/>
                <w:noProof/>
              </w:rPr>
            </w:r>
            <w:r w:rsidR="00AB5A93">
              <w:rPr>
                <w:rFonts w:ascii="Times New Roman" w:hAnsi="Times New Roman" w:cs="Times New Roman"/>
                <w:noProof/>
              </w:rPr>
              <w:fldChar w:fldCharType="separate"/>
            </w:r>
            <w:r w:rsidR="002478AE">
              <w:rPr>
                <w:rFonts w:ascii="Times New Roman" w:hAnsi="Times New Roman" w:cs="Times New Roman"/>
                <w:noProof/>
              </w:rPr>
              <w:t>10</w:t>
            </w:r>
            <w:r w:rsidR="00AB5A93">
              <w:rPr>
                <w:rFonts w:ascii="Times New Roman" w:hAnsi="Times New Roman" w:cs="Times New Roman"/>
                <w:noProof/>
              </w:rPr>
              <w:fldChar w:fldCharType="end"/>
            </w:r>
          </w:hyperlink>
        </w:p>
        <w:p w:rsidR="00B43A95" w:rsidRDefault="007C3DEB">
          <w:pPr>
            <w:pStyle w:val="10"/>
            <w:tabs>
              <w:tab w:val="right" w:leader="dot" w:pos="8660"/>
            </w:tabs>
            <w:jc w:val="both"/>
            <w:rPr>
              <w:rFonts w:ascii="Times New Roman" w:hAnsi="Times New Roman" w:cs="Times New Roman"/>
              <w:noProof/>
              <w:kern w:val="2"/>
              <w:lang w:val="en-US" w:bidi="ar-SA"/>
            </w:rPr>
          </w:pPr>
          <w:hyperlink w:anchor="_Toc516502492" w:history="1">
            <w:r w:rsidR="00AB5A93">
              <w:rPr>
                <w:rStyle w:val="aa"/>
                <w:rFonts w:ascii="Times New Roman" w:hAnsi="Times New Roman" w:cs="Times New Roman" w:hint="eastAsia"/>
                <w:noProof/>
                <w:lang w:val="en-US"/>
              </w:rPr>
              <w:t>七、交易及清算交收安排</w:t>
            </w:r>
            <w:r w:rsidR="00AB5A93">
              <w:rPr>
                <w:rFonts w:ascii="Times New Roman" w:hAnsi="Times New Roman" w:cs="Times New Roman"/>
                <w:noProof/>
              </w:rPr>
              <w:tab/>
            </w:r>
            <w:r w:rsidR="00AB5A93">
              <w:rPr>
                <w:rFonts w:ascii="Times New Roman" w:hAnsi="Times New Roman" w:cs="Times New Roman"/>
                <w:noProof/>
              </w:rPr>
              <w:fldChar w:fldCharType="begin"/>
            </w:r>
            <w:r w:rsidR="00AB5A93">
              <w:rPr>
                <w:rFonts w:ascii="Times New Roman" w:hAnsi="Times New Roman" w:cs="Times New Roman"/>
                <w:noProof/>
              </w:rPr>
              <w:instrText xml:space="preserve"> PAGEREF _Toc516502492 \h </w:instrText>
            </w:r>
            <w:r w:rsidR="00AB5A93">
              <w:rPr>
                <w:rFonts w:ascii="Times New Roman" w:hAnsi="Times New Roman" w:cs="Times New Roman"/>
                <w:noProof/>
              </w:rPr>
            </w:r>
            <w:r w:rsidR="00AB5A93">
              <w:rPr>
                <w:rFonts w:ascii="Times New Roman" w:hAnsi="Times New Roman" w:cs="Times New Roman"/>
                <w:noProof/>
              </w:rPr>
              <w:fldChar w:fldCharType="separate"/>
            </w:r>
            <w:r w:rsidR="002478AE">
              <w:rPr>
                <w:rFonts w:ascii="Times New Roman" w:hAnsi="Times New Roman" w:cs="Times New Roman"/>
                <w:noProof/>
              </w:rPr>
              <w:t>12</w:t>
            </w:r>
            <w:r w:rsidR="00AB5A93">
              <w:rPr>
                <w:rFonts w:ascii="Times New Roman" w:hAnsi="Times New Roman" w:cs="Times New Roman"/>
                <w:noProof/>
              </w:rPr>
              <w:fldChar w:fldCharType="end"/>
            </w:r>
          </w:hyperlink>
        </w:p>
        <w:p w:rsidR="00B43A95" w:rsidRDefault="007C3DEB">
          <w:pPr>
            <w:pStyle w:val="10"/>
            <w:tabs>
              <w:tab w:val="right" w:leader="dot" w:pos="8660"/>
            </w:tabs>
            <w:jc w:val="both"/>
            <w:rPr>
              <w:rFonts w:ascii="Times New Roman" w:hAnsi="Times New Roman" w:cs="Times New Roman"/>
              <w:noProof/>
              <w:kern w:val="2"/>
              <w:lang w:val="en-US" w:bidi="ar-SA"/>
            </w:rPr>
          </w:pPr>
          <w:hyperlink w:anchor="_Toc516502493" w:history="1">
            <w:r w:rsidR="00AB5A93">
              <w:rPr>
                <w:rStyle w:val="aa"/>
                <w:rFonts w:ascii="Times New Roman" w:hAnsi="Times New Roman" w:cs="Times New Roman" w:hint="eastAsia"/>
                <w:noProof/>
                <w:lang w:val="en-US"/>
              </w:rPr>
              <w:t>八、基金资产净值计算和会计核算</w:t>
            </w:r>
            <w:r w:rsidR="00AB5A93">
              <w:rPr>
                <w:rFonts w:ascii="Times New Roman" w:hAnsi="Times New Roman" w:cs="Times New Roman"/>
                <w:noProof/>
              </w:rPr>
              <w:tab/>
            </w:r>
            <w:r w:rsidR="00AB5A93">
              <w:rPr>
                <w:rFonts w:ascii="Times New Roman" w:hAnsi="Times New Roman" w:cs="Times New Roman"/>
                <w:noProof/>
              </w:rPr>
              <w:fldChar w:fldCharType="begin"/>
            </w:r>
            <w:r w:rsidR="00AB5A93">
              <w:rPr>
                <w:rFonts w:ascii="Times New Roman" w:hAnsi="Times New Roman" w:cs="Times New Roman"/>
                <w:noProof/>
              </w:rPr>
              <w:instrText xml:space="preserve"> PAGEREF _Toc516502493 \h </w:instrText>
            </w:r>
            <w:r w:rsidR="00AB5A93">
              <w:rPr>
                <w:rFonts w:ascii="Times New Roman" w:hAnsi="Times New Roman" w:cs="Times New Roman"/>
                <w:noProof/>
              </w:rPr>
            </w:r>
            <w:r w:rsidR="00AB5A93">
              <w:rPr>
                <w:rFonts w:ascii="Times New Roman" w:hAnsi="Times New Roman" w:cs="Times New Roman"/>
                <w:noProof/>
              </w:rPr>
              <w:fldChar w:fldCharType="separate"/>
            </w:r>
            <w:r w:rsidR="002478AE">
              <w:rPr>
                <w:rFonts w:ascii="Times New Roman" w:hAnsi="Times New Roman" w:cs="Times New Roman"/>
                <w:noProof/>
              </w:rPr>
              <w:t>15</w:t>
            </w:r>
            <w:r w:rsidR="00AB5A93">
              <w:rPr>
                <w:rFonts w:ascii="Times New Roman" w:hAnsi="Times New Roman" w:cs="Times New Roman"/>
                <w:noProof/>
              </w:rPr>
              <w:fldChar w:fldCharType="end"/>
            </w:r>
          </w:hyperlink>
        </w:p>
        <w:p w:rsidR="00B43A95" w:rsidRDefault="007C3DEB">
          <w:pPr>
            <w:pStyle w:val="10"/>
            <w:tabs>
              <w:tab w:val="right" w:leader="dot" w:pos="8660"/>
            </w:tabs>
            <w:jc w:val="both"/>
            <w:rPr>
              <w:rFonts w:ascii="Times New Roman" w:hAnsi="Times New Roman" w:cs="Times New Roman"/>
              <w:noProof/>
              <w:kern w:val="2"/>
              <w:lang w:val="en-US" w:bidi="ar-SA"/>
            </w:rPr>
          </w:pPr>
          <w:hyperlink w:anchor="_Toc516502494" w:history="1">
            <w:r w:rsidR="00AB5A93">
              <w:rPr>
                <w:rStyle w:val="aa"/>
                <w:rFonts w:ascii="Times New Roman" w:hAnsi="Times New Roman" w:cs="Times New Roman" w:hint="eastAsia"/>
                <w:noProof/>
                <w:lang w:val="en-US"/>
              </w:rPr>
              <w:t>九、基金收益分配</w:t>
            </w:r>
            <w:r w:rsidR="00AB5A93">
              <w:rPr>
                <w:rFonts w:ascii="Times New Roman" w:hAnsi="Times New Roman" w:cs="Times New Roman"/>
                <w:noProof/>
              </w:rPr>
              <w:tab/>
            </w:r>
            <w:r w:rsidR="00AB5A93">
              <w:rPr>
                <w:rFonts w:ascii="Times New Roman" w:hAnsi="Times New Roman" w:cs="Times New Roman"/>
                <w:noProof/>
              </w:rPr>
              <w:fldChar w:fldCharType="begin"/>
            </w:r>
            <w:r w:rsidR="00AB5A93">
              <w:rPr>
                <w:rFonts w:ascii="Times New Roman" w:hAnsi="Times New Roman" w:cs="Times New Roman"/>
                <w:noProof/>
              </w:rPr>
              <w:instrText xml:space="preserve"> PAGEREF _Toc516502494 \h </w:instrText>
            </w:r>
            <w:r w:rsidR="00AB5A93">
              <w:rPr>
                <w:rFonts w:ascii="Times New Roman" w:hAnsi="Times New Roman" w:cs="Times New Roman"/>
                <w:noProof/>
              </w:rPr>
            </w:r>
            <w:r w:rsidR="00AB5A93">
              <w:rPr>
                <w:rFonts w:ascii="Times New Roman" w:hAnsi="Times New Roman" w:cs="Times New Roman"/>
                <w:noProof/>
              </w:rPr>
              <w:fldChar w:fldCharType="separate"/>
            </w:r>
            <w:r w:rsidR="002478AE">
              <w:rPr>
                <w:rFonts w:ascii="Times New Roman" w:hAnsi="Times New Roman" w:cs="Times New Roman"/>
                <w:noProof/>
              </w:rPr>
              <w:t>17</w:t>
            </w:r>
            <w:r w:rsidR="00AB5A93">
              <w:rPr>
                <w:rFonts w:ascii="Times New Roman" w:hAnsi="Times New Roman" w:cs="Times New Roman"/>
                <w:noProof/>
              </w:rPr>
              <w:fldChar w:fldCharType="end"/>
            </w:r>
          </w:hyperlink>
        </w:p>
        <w:p w:rsidR="00B43A95" w:rsidRDefault="007C3DEB">
          <w:pPr>
            <w:pStyle w:val="10"/>
            <w:tabs>
              <w:tab w:val="right" w:leader="dot" w:pos="8660"/>
            </w:tabs>
            <w:jc w:val="both"/>
            <w:rPr>
              <w:rFonts w:ascii="Times New Roman" w:hAnsi="Times New Roman" w:cs="Times New Roman"/>
              <w:noProof/>
              <w:kern w:val="2"/>
              <w:lang w:val="en-US" w:bidi="ar-SA"/>
            </w:rPr>
          </w:pPr>
          <w:hyperlink w:anchor="_Toc516502495" w:history="1">
            <w:r w:rsidR="00AB5A93">
              <w:rPr>
                <w:rStyle w:val="aa"/>
                <w:rFonts w:ascii="Times New Roman" w:hAnsi="Times New Roman" w:cs="Times New Roman" w:hint="eastAsia"/>
                <w:noProof/>
                <w:lang w:val="en-US"/>
              </w:rPr>
              <w:t>十、基金信息披露</w:t>
            </w:r>
            <w:r w:rsidR="00AB5A93">
              <w:rPr>
                <w:rFonts w:ascii="Times New Roman" w:hAnsi="Times New Roman" w:cs="Times New Roman"/>
                <w:noProof/>
              </w:rPr>
              <w:tab/>
            </w:r>
            <w:r w:rsidR="00AB5A93">
              <w:rPr>
                <w:rFonts w:ascii="Times New Roman" w:hAnsi="Times New Roman" w:cs="Times New Roman"/>
                <w:noProof/>
              </w:rPr>
              <w:fldChar w:fldCharType="begin"/>
            </w:r>
            <w:r w:rsidR="00AB5A93">
              <w:rPr>
                <w:rFonts w:ascii="Times New Roman" w:hAnsi="Times New Roman" w:cs="Times New Roman"/>
                <w:noProof/>
              </w:rPr>
              <w:instrText xml:space="preserve"> PAGEREF _Toc516502495 \h </w:instrText>
            </w:r>
            <w:r w:rsidR="00AB5A93">
              <w:rPr>
                <w:rFonts w:ascii="Times New Roman" w:hAnsi="Times New Roman" w:cs="Times New Roman"/>
                <w:noProof/>
              </w:rPr>
            </w:r>
            <w:r w:rsidR="00AB5A93">
              <w:rPr>
                <w:rFonts w:ascii="Times New Roman" w:hAnsi="Times New Roman" w:cs="Times New Roman"/>
                <w:noProof/>
              </w:rPr>
              <w:fldChar w:fldCharType="separate"/>
            </w:r>
            <w:r w:rsidR="002478AE">
              <w:rPr>
                <w:rFonts w:ascii="Times New Roman" w:hAnsi="Times New Roman" w:cs="Times New Roman"/>
                <w:noProof/>
              </w:rPr>
              <w:t>18</w:t>
            </w:r>
            <w:r w:rsidR="00AB5A93">
              <w:rPr>
                <w:rFonts w:ascii="Times New Roman" w:hAnsi="Times New Roman" w:cs="Times New Roman"/>
                <w:noProof/>
              </w:rPr>
              <w:fldChar w:fldCharType="end"/>
            </w:r>
          </w:hyperlink>
        </w:p>
        <w:p w:rsidR="00B43A95" w:rsidRDefault="007C3DEB">
          <w:pPr>
            <w:pStyle w:val="10"/>
            <w:tabs>
              <w:tab w:val="right" w:leader="dot" w:pos="8660"/>
            </w:tabs>
            <w:jc w:val="both"/>
            <w:rPr>
              <w:rFonts w:ascii="Times New Roman" w:hAnsi="Times New Roman" w:cs="Times New Roman"/>
              <w:noProof/>
              <w:kern w:val="2"/>
              <w:lang w:val="en-US" w:bidi="ar-SA"/>
            </w:rPr>
          </w:pPr>
          <w:hyperlink w:anchor="_Toc516502496" w:history="1">
            <w:r w:rsidR="00AB5A93">
              <w:rPr>
                <w:rStyle w:val="aa"/>
                <w:rFonts w:ascii="Times New Roman" w:hAnsi="Times New Roman" w:cs="Times New Roman" w:hint="eastAsia"/>
                <w:noProof/>
                <w:lang w:val="en-US"/>
              </w:rPr>
              <w:t>十一、基金费用</w:t>
            </w:r>
            <w:r w:rsidR="00AB5A93">
              <w:rPr>
                <w:rFonts w:ascii="Times New Roman" w:hAnsi="Times New Roman" w:cs="Times New Roman"/>
                <w:noProof/>
              </w:rPr>
              <w:tab/>
            </w:r>
            <w:r w:rsidR="00AB5A93">
              <w:rPr>
                <w:rFonts w:ascii="Times New Roman" w:hAnsi="Times New Roman" w:cs="Times New Roman"/>
                <w:noProof/>
              </w:rPr>
              <w:fldChar w:fldCharType="begin"/>
            </w:r>
            <w:r w:rsidR="00AB5A93">
              <w:rPr>
                <w:rFonts w:ascii="Times New Roman" w:hAnsi="Times New Roman" w:cs="Times New Roman"/>
                <w:noProof/>
              </w:rPr>
              <w:instrText xml:space="preserve"> PAGEREF _Toc516502496 \h </w:instrText>
            </w:r>
            <w:r w:rsidR="00AB5A93">
              <w:rPr>
                <w:rFonts w:ascii="Times New Roman" w:hAnsi="Times New Roman" w:cs="Times New Roman"/>
                <w:noProof/>
              </w:rPr>
            </w:r>
            <w:r w:rsidR="00AB5A93">
              <w:rPr>
                <w:rFonts w:ascii="Times New Roman" w:hAnsi="Times New Roman" w:cs="Times New Roman"/>
                <w:noProof/>
              </w:rPr>
              <w:fldChar w:fldCharType="separate"/>
            </w:r>
            <w:r w:rsidR="002478AE">
              <w:rPr>
                <w:rFonts w:ascii="Times New Roman" w:hAnsi="Times New Roman" w:cs="Times New Roman"/>
                <w:noProof/>
              </w:rPr>
              <w:t>19</w:t>
            </w:r>
            <w:r w:rsidR="00AB5A93">
              <w:rPr>
                <w:rFonts w:ascii="Times New Roman" w:hAnsi="Times New Roman" w:cs="Times New Roman"/>
                <w:noProof/>
              </w:rPr>
              <w:fldChar w:fldCharType="end"/>
            </w:r>
          </w:hyperlink>
        </w:p>
        <w:p w:rsidR="00B43A95" w:rsidRDefault="007C3DEB">
          <w:pPr>
            <w:pStyle w:val="10"/>
            <w:tabs>
              <w:tab w:val="right" w:leader="dot" w:pos="8660"/>
            </w:tabs>
            <w:jc w:val="both"/>
            <w:rPr>
              <w:rFonts w:ascii="Times New Roman" w:hAnsi="Times New Roman" w:cs="Times New Roman"/>
              <w:noProof/>
              <w:kern w:val="2"/>
              <w:lang w:val="en-US" w:bidi="ar-SA"/>
            </w:rPr>
          </w:pPr>
          <w:hyperlink w:anchor="_Toc516502497" w:history="1">
            <w:r w:rsidR="00AB5A93">
              <w:rPr>
                <w:rStyle w:val="aa"/>
                <w:rFonts w:ascii="Times New Roman" w:hAnsi="Times New Roman" w:cs="Times New Roman" w:hint="eastAsia"/>
                <w:noProof/>
                <w:lang w:val="en-US"/>
              </w:rPr>
              <w:t>十二、基金份额持有人名册的登记与保管</w:t>
            </w:r>
            <w:r w:rsidR="00AB5A93">
              <w:rPr>
                <w:rFonts w:ascii="Times New Roman" w:hAnsi="Times New Roman" w:cs="Times New Roman"/>
                <w:noProof/>
              </w:rPr>
              <w:tab/>
            </w:r>
            <w:r w:rsidR="00AB5A93">
              <w:rPr>
                <w:rFonts w:ascii="Times New Roman" w:hAnsi="Times New Roman" w:cs="Times New Roman"/>
                <w:noProof/>
              </w:rPr>
              <w:fldChar w:fldCharType="begin"/>
            </w:r>
            <w:r w:rsidR="00AB5A93">
              <w:rPr>
                <w:rFonts w:ascii="Times New Roman" w:hAnsi="Times New Roman" w:cs="Times New Roman"/>
                <w:noProof/>
              </w:rPr>
              <w:instrText xml:space="preserve"> PAGEREF _Toc516502497 \h </w:instrText>
            </w:r>
            <w:r w:rsidR="00AB5A93">
              <w:rPr>
                <w:rFonts w:ascii="Times New Roman" w:hAnsi="Times New Roman" w:cs="Times New Roman"/>
                <w:noProof/>
              </w:rPr>
            </w:r>
            <w:r w:rsidR="00AB5A93">
              <w:rPr>
                <w:rFonts w:ascii="Times New Roman" w:hAnsi="Times New Roman" w:cs="Times New Roman"/>
                <w:noProof/>
              </w:rPr>
              <w:fldChar w:fldCharType="separate"/>
            </w:r>
            <w:r w:rsidR="002478AE">
              <w:rPr>
                <w:rFonts w:ascii="Times New Roman" w:hAnsi="Times New Roman" w:cs="Times New Roman"/>
                <w:noProof/>
              </w:rPr>
              <w:t>20</w:t>
            </w:r>
            <w:r w:rsidR="00AB5A93">
              <w:rPr>
                <w:rFonts w:ascii="Times New Roman" w:hAnsi="Times New Roman" w:cs="Times New Roman"/>
                <w:noProof/>
              </w:rPr>
              <w:fldChar w:fldCharType="end"/>
            </w:r>
          </w:hyperlink>
        </w:p>
        <w:p w:rsidR="00B43A95" w:rsidRDefault="007C3DEB">
          <w:pPr>
            <w:pStyle w:val="10"/>
            <w:tabs>
              <w:tab w:val="right" w:leader="dot" w:pos="8660"/>
            </w:tabs>
            <w:jc w:val="both"/>
            <w:rPr>
              <w:rFonts w:ascii="Times New Roman" w:hAnsi="Times New Roman" w:cs="Times New Roman"/>
              <w:noProof/>
              <w:kern w:val="2"/>
              <w:lang w:val="en-US" w:bidi="ar-SA"/>
            </w:rPr>
          </w:pPr>
          <w:hyperlink w:anchor="_Toc516502498" w:history="1">
            <w:r w:rsidR="00AB5A93">
              <w:rPr>
                <w:rStyle w:val="aa"/>
                <w:rFonts w:ascii="Times New Roman" w:hAnsi="Times New Roman" w:cs="Times New Roman" w:hint="eastAsia"/>
                <w:noProof/>
                <w:lang w:val="en-US"/>
              </w:rPr>
              <w:t>十三、基金有关文件档案的保存</w:t>
            </w:r>
            <w:r w:rsidR="00AB5A93">
              <w:rPr>
                <w:rFonts w:ascii="Times New Roman" w:hAnsi="Times New Roman" w:cs="Times New Roman"/>
                <w:noProof/>
              </w:rPr>
              <w:tab/>
            </w:r>
            <w:r w:rsidR="00AB5A93">
              <w:rPr>
                <w:rFonts w:ascii="Times New Roman" w:hAnsi="Times New Roman" w:cs="Times New Roman"/>
                <w:noProof/>
              </w:rPr>
              <w:fldChar w:fldCharType="begin"/>
            </w:r>
            <w:r w:rsidR="00AB5A93">
              <w:rPr>
                <w:rFonts w:ascii="Times New Roman" w:hAnsi="Times New Roman" w:cs="Times New Roman"/>
                <w:noProof/>
              </w:rPr>
              <w:instrText xml:space="preserve"> PAGEREF _Toc516502498 \h </w:instrText>
            </w:r>
            <w:r w:rsidR="00AB5A93">
              <w:rPr>
                <w:rFonts w:ascii="Times New Roman" w:hAnsi="Times New Roman" w:cs="Times New Roman"/>
                <w:noProof/>
              </w:rPr>
            </w:r>
            <w:r w:rsidR="00AB5A93">
              <w:rPr>
                <w:rFonts w:ascii="Times New Roman" w:hAnsi="Times New Roman" w:cs="Times New Roman"/>
                <w:noProof/>
              </w:rPr>
              <w:fldChar w:fldCharType="separate"/>
            </w:r>
            <w:r w:rsidR="002478AE">
              <w:rPr>
                <w:rFonts w:ascii="Times New Roman" w:hAnsi="Times New Roman" w:cs="Times New Roman"/>
                <w:noProof/>
              </w:rPr>
              <w:t>21</w:t>
            </w:r>
            <w:r w:rsidR="00AB5A93">
              <w:rPr>
                <w:rFonts w:ascii="Times New Roman" w:hAnsi="Times New Roman" w:cs="Times New Roman"/>
                <w:noProof/>
              </w:rPr>
              <w:fldChar w:fldCharType="end"/>
            </w:r>
          </w:hyperlink>
        </w:p>
        <w:p w:rsidR="00B43A95" w:rsidRDefault="007C3DEB">
          <w:pPr>
            <w:pStyle w:val="10"/>
            <w:tabs>
              <w:tab w:val="right" w:leader="dot" w:pos="8660"/>
            </w:tabs>
            <w:jc w:val="both"/>
            <w:rPr>
              <w:rFonts w:ascii="Times New Roman" w:hAnsi="Times New Roman" w:cs="Times New Roman"/>
              <w:noProof/>
              <w:kern w:val="2"/>
              <w:lang w:val="en-US" w:bidi="ar-SA"/>
            </w:rPr>
          </w:pPr>
          <w:hyperlink w:anchor="_Toc516502499" w:history="1">
            <w:r w:rsidR="00AB5A93">
              <w:rPr>
                <w:rStyle w:val="aa"/>
                <w:rFonts w:ascii="Times New Roman" w:hAnsi="Times New Roman" w:cs="Times New Roman" w:hint="eastAsia"/>
                <w:noProof/>
                <w:lang w:val="en-US"/>
              </w:rPr>
              <w:t>十四、基金管理人和基金托管人的更换</w:t>
            </w:r>
            <w:r w:rsidR="00AB5A93">
              <w:rPr>
                <w:rFonts w:ascii="Times New Roman" w:hAnsi="Times New Roman" w:cs="Times New Roman"/>
                <w:noProof/>
              </w:rPr>
              <w:tab/>
            </w:r>
            <w:r w:rsidR="00AB5A93">
              <w:rPr>
                <w:rFonts w:ascii="Times New Roman" w:hAnsi="Times New Roman" w:cs="Times New Roman"/>
                <w:noProof/>
              </w:rPr>
              <w:fldChar w:fldCharType="begin"/>
            </w:r>
            <w:r w:rsidR="00AB5A93">
              <w:rPr>
                <w:rFonts w:ascii="Times New Roman" w:hAnsi="Times New Roman" w:cs="Times New Roman"/>
                <w:noProof/>
              </w:rPr>
              <w:instrText xml:space="preserve"> PAGEREF _Toc516502499 \h </w:instrText>
            </w:r>
            <w:r w:rsidR="00AB5A93">
              <w:rPr>
                <w:rFonts w:ascii="Times New Roman" w:hAnsi="Times New Roman" w:cs="Times New Roman"/>
                <w:noProof/>
              </w:rPr>
            </w:r>
            <w:r w:rsidR="00AB5A93">
              <w:rPr>
                <w:rFonts w:ascii="Times New Roman" w:hAnsi="Times New Roman" w:cs="Times New Roman"/>
                <w:noProof/>
              </w:rPr>
              <w:fldChar w:fldCharType="separate"/>
            </w:r>
            <w:r w:rsidR="002478AE">
              <w:rPr>
                <w:rFonts w:ascii="Times New Roman" w:hAnsi="Times New Roman" w:cs="Times New Roman"/>
                <w:noProof/>
              </w:rPr>
              <w:t>21</w:t>
            </w:r>
            <w:r w:rsidR="00AB5A93">
              <w:rPr>
                <w:rFonts w:ascii="Times New Roman" w:hAnsi="Times New Roman" w:cs="Times New Roman"/>
                <w:noProof/>
              </w:rPr>
              <w:fldChar w:fldCharType="end"/>
            </w:r>
          </w:hyperlink>
        </w:p>
        <w:p w:rsidR="00B43A95" w:rsidRDefault="007C3DEB">
          <w:pPr>
            <w:pStyle w:val="10"/>
            <w:tabs>
              <w:tab w:val="right" w:leader="dot" w:pos="8660"/>
            </w:tabs>
            <w:jc w:val="both"/>
            <w:rPr>
              <w:rFonts w:ascii="Times New Roman" w:hAnsi="Times New Roman" w:cs="Times New Roman"/>
              <w:noProof/>
              <w:kern w:val="2"/>
              <w:lang w:val="en-US" w:bidi="ar-SA"/>
            </w:rPr>
          </w:pPr>
          <w:hyperlink w:anchor="_Toc516502500" w:history="1">
            <w:r w:rsidR="00AB5A93">
              <w:rPr>
                <w:rStyle w:val="aa"/>
                <w:rFonts w:ascii="Times New Roman" w:hAnsi="Times New Roman" w:cs="Times New Roman" w:hint="eastAsia"/>
                <w:noProof/>
                <w:lang w:val="en-US"/>
              </w:rPr>
              <w:t>十五、禁止行为</w:t>
            </w:r>
            <w:r w:rsidR="00AB5A93">
              <w:rPr>
                <w:rFonts w:ascii="Times New Roman" w:hAnsi="Times New Roman" w:cs="Times New Roman"/>
                <w:noProof/>
              </w:rPr>
              <w:tab/>
            </w:r>
            <w:r w:rsidR="00AB5A93">
              <w:rPr>
                <w:rFonts w:ascii="Times New Roman" w:hAnsi="Times New Roman" w:cs="Times New Roman"/>
                <w:noProof/>
              </w:rPr>
              <w:fldChar w:fldCharType="begin"/>
            </w:r>
            <w:r w:rsidR="00AB5A93">
              <w:rPr>
                <w:rFonts w:ascii="Times New Roman" w:hAnsi="Times New Roman" w:cs="Times New Roman"/>
                <w:noProof/>
              </w:rPr>
              <w:instrText xml:space="preserve"> PAGEREF _Toc516502500 \h </w:instrText>
            </w:r>
            <w:r w:rsidR="00AB5A93">
              <w:rPr>
                <w:rFonts w:ascii="Times New Roman" w:hAnsi="Times New Roman" w:cs="Times New Roman"/>
                <w:noProof/>
              </w:rPr>
            </w:r>
            <w:r w:rsidR="00AB5A93">
              <w:rPr>
                <w:rFonts w:ascii="Times New Roman" w:hAnsi="Times New Roman" w:cs="Times New Roman"/>
                <w:noProof/>
              </w:rPr>
              <w:fldChar w:fldCharType="separate"/>
            </w:r>
            <w:r w:rsidR="002478AE">
              <w:rPr>
                <w:rFonts w:ascii="Times New Roman" w:hAnsi="Times New Roman" w:cs="Times New Roman"/>
                <w:noProof/>
              </w:rPr>
              <w:t>23</w:t>
            </w:r>
            <w:r w:rsidR="00AB5A93">
              <w:rPr>
                <w:rFonts w:ascii="Times New Roman" w:hAnsi="Times New Roman" w:cs="Times New Roman"/>
                <w:noProof/>
              </w:rPr>
              <w:fldChar w:fldCharType="end"/>
            </w:r>
          </w:hyperlink>
        </w:p>
        <w:p w:rsidR="00B43A95" w:rsidRDefault="007C3DEB">
          <w:pPr>
            <w:pStyle w:val="10"/>
            <w:tabs>
              <w:tab w:val="right" w:leader="dot" w:pos="8660"/>
            </w:tabs>
            <w:jc w:val="both"/>
            <w:rPr>
              <w:rFonts w:ascii="Times New Roman" w:hAnsi="Times New Roman" w:cs="Times New Roman"/>
              <w:noProof/>
              <w:kern w:val="2"/>
              <w:lang w:val="en-US" w:bidi="ar-SA"/>
            </w:rPr>
          </w:pPr>
          <w:hyperlink w:anchor="_Toc516502501" w:history="1">
            <w:r w:rsidR="00AB5A93">
              <w:rPr>
                <w:rStyle w:val="aa"/>
                <w:rFonts w:ascii="Times New Roman" w:hAnsi="Times New Roman" w:cs="Times New Roman" w:hint="eastAsia"/>
                <w:noProof/>
                <w:lang w:val="en-US"/>
              </w:rPr>
              <w:t>十六、托管协议的变更、终止与基金财产的清算</w:t>
            </w:r>
            <w:r w:rsidR="00AB5A93">
              <w:rPr>
                <w:rFonts w:ascii="Times New Roman" w:hAnsi="Times New Roman" w:cs="Times New Roman"/>
                <w:noProof/>
              </w:rPr>
              <w:tab/>
            </w:r>
            <w:r w:rsidR="00AB5A93">
              <w:rPr>
                <w:rFonts w:ascii="Times New Roman" w:hAnsi="Times New Roman" w:cs="Times New Roman"/>
                <w:noProof/>
              </w:rPr>
              <w:fldChar w:fldCharType="begin"/>
            </w:r>
            <w:r w:rsidR="00AB5A93">
              <w:rPr>
                <w:rFonts w:ascii="Times New Roman" w:hAnsi="Times New Roman" w:cs="Times New Roman"/>
                <w:noProof/>
              </w:rPr>
              <w:instrText xml:space="preserve"> PAGEREF _Toc516502501 \h </w:instrText>
            </w:r>
            <w:r w:rsidR="00AB5A93">
              <w:rPr>
                <w:rFonts w:ascii="Times New Roman" w:hAnsi="Times New Roman" w:cs="Times New Roman"/>
                <w:noProof/>
              </w:rPr>
            </w:r>
            <w:r w:rsidR="00AB5A93">
              <w:rPr>
                <w:rFonts w:ascii="Times New Roman" w:hAnsi="Times New Roman" w:cs="Times New Roman"/>
                <w:noProof/>
              </w:rPr>
              <w:fldChar w:fldCharType="separate"/>
            </w:r>
            <w:r w:rsidR="002478AE">
              <w:rPr>
                <w:rFonts w:ascii="Times New Roman" w:hAnsi="Times New Roman" w:cs="Times New Roman"/>
                <w:noProof/>
              </w:rPr>
              <w:t>24</w:t>
            </w:r>
            <w:r w:rsidR="00AB5A93">
              <w:rPr>
                <w:rFonts w:ascii="Times New Roman" w:hAnsi="Times New Roman" w:cs="Times New Roman"/>
                <w:noProof/>
              </w:rPr>
              <w:fldChar w:fldCharType="end"/>
            </w:r>
          </w:hyperlink>
        </w:p>
        <w:p w:rsidR="00B43A95" w:rsidRDefault="007C3DEB">
          <w:pPr>
            <w:pStyle w:val="10"/>
            <w:tabs>
              <w:tab w:val="right" w:leader="dot" w:pos="8660"/>
            </w:tabs>
            <w:jc w:val="both"/>
            <w:rPr>
              <w:rFonts w:ascii="Times New Roman" w:hAnsi="Times New Roman" w:cs="Times New Roman"/>
              <w:noProof/>
              <w:kern w:val="2"/>
              <w:lang w:val="en-US" w:bidi="ar-SA"/>
            </w:rPr>
          </w:pPr>
          <w:hyperlink w:anchor="_Toc516502502" w:history="1">
            <w:r w:rsidR="00AB5A93">
              <w:rPr>
                <w:rStyle w:val="aa"/>
                <w:rFonts w:ascii="Times New Roman" w:hAnsi="Times New Roman" w:cs="Times New Roman" w:hint="eastAsia"/>
                <w:noProof/>
                <w:lang w:val="en-US"/>
              </w:rPr>
              <w:t>十七、违约责任</w:t>
            </w:r>
            <w:r w:rsidR="00AB5A93">
              <w:rPr>
                <w:rFonts w:ascii="Times New Roman" w:hAnsi="Times New Roman" w:cs="Times New Roman"/>
                <w:noProof/>
              </w:rPr>
              <w:tab/>
            </w:r>
            <w:r w:rsidR="00AB5A93">
              <w:rPr>
                <w:rFonts w:ascii="Times New Roman" w:hAnsi="Times New Roman" w:cs="Times New Roman"/>
                <w:noProof/>
              </w:rPr>
              <w:fldChar w:fldCharType="begin"/>
            </w:r>
            <w:r w:rsidR="00AB5A93">
              <w:rPr>
                <w:rFonts w:ascii="Times New Roman" w:hAnsi="Times New Roman" w:cs="Times New Roman"/>
                <w:noProof/>
              </w:rPr>
              <w:instrText xml:space="preserve"> PAGEREF _Toc516502502 \h </w:instrText>
            </w:r>
            <w:r w:rsidR="00AB5A93">
              <w:rPr>
                <w:rFonts w:ascii="Times New Roman" w:hAnsi="Times New Roman" w:cs="Times New Roman"/>
                <w:noProof/>
              </w:rPr>
            </w:r>
            <w:r w:rsidR="00AB5A93">
              <w:rPr>
                <w:rFonts w:ascii="Times New Roman" w:hAnsi="Times New Roman" w:cs="Times New Roman"/>
                <w:noProof/>
              </w:rPr>
              <w:fldChar w:fldCharType="separate"/>
            </w:r>
            <w:r w:rsidR="002478AE">
              <w:rPr>
                <w:rFonts w:ascii="Times New Roman" w:hAnsi="Times New Roman" w:cs="Times New Roman"/>
                <w:noProof/>
              </w:rPr>
              <w:t>26</w:t>
            </w:r>
            <w:r w:rsidR="00AB5A93">
              <w:rPr>
                <w:rFonts w:ascii="Times New Roman" w:hAnsi="Times New Roman" w:cs="Times New Roman"/>
                <w:noProof/>
              </w:rPr>
              <w:fldChar w:fldCharType="end"/>
            </w:r>
          </w:hyperlink>
        </w:p>
        <w:p w:rsidR="00B43A95" w:rsidRDefault="007C3DEB">
          <w:pPr>
            <w:pStyle w:val="10"/>
            <w:tabs>
              <w:tab w:val="right" w:leader="dot" w:pos="8660"/>
            </w:tabs>
            <w:jc w:val="both"/>
            <w:rPr>
              <w:rFonts w:ascii="Times New Roman" w:hAnsi="Times New Roman" w:cs="Times New Roman"/>
              <w:noProof/>
              <w:kern w:val="2"/>
              <w:lang w:val="en-US" w:bidi="ar-SA"/>
            </w:rPr>
          </w:pPr>
          <w:hyperlink w:anchor="_Toc516502503" w:history="1">
            <w:r w:rsidR="00AB5A93">
              <w:rPr>
                <w:rStyle w:val="aa"/>
                <w:rFonts w:ascii="Times New Roman" w:hAnsi="Times New Roman" w:cs="Times New Roman" w:hint="eastAsia"/>
                <w:noProof/>
                <w:lang w:val="en-US"/>
              </w:rPr>
              <w:t>十八、争议解决方式</w:t>
            </w:r>
            <w:r w:rsidR="00AB5A93">
              <w:rPr>
                <w:rFonts w:ascii="Times New Roman" w:hAnsi="Times New Roman" w:cs="Times New Roman"/>
                <w:noProof/>
              </w:rPr>
              <w:tab/>
            </w:r>
            <w:r w:rsidR="00AB5A93">
              <w:rPr>
                <w:rFonts w:ascii="Times New Roman" w:hAnsi="Times New Roman" w:cs="Times New Roman"/>
                <w:noProof/>
              </w:rPr>
              <w:fldChar w:fldCharType="begin"/>
            </w:r>
            <w:r w:rsidR="00AB5A93">
              <w:rPr>
                <w:rFonts w:ascii="Times New Roman" w:hAnsi="Times New Roman" w:cs="Times New Roman"/>
                <w:noProof/>
              </w:rPr>
              <w:instrText xml:space="preserve"> PAGEREF _Toc516502503 \h </w:instrText>
            </w:r>
            <w:r w:rsidR="00AB5A93">
              <w:rPr>
                <w:rFonts w:ascii="Times New Roman" w:hAnsi="Times New Roman" w:cs="Times New Roman"/>
                <w:noProof/>
              </w:rPr>
            </w:r>
            <w:r w:rsidR="00AB5A93">
              <w:rPr>
                <w:rFonts w:ascii="Times New Roman" w:hAnsi="Times New Roman" w:cs="Times New Roman"/>
                <w:noProof/>
              </w:rPr>
              <w:fldChar w:fldCharType="separate"/>
            </w:r>
            <w:r w:rsidR="002478AE">
              <w:rPr>
                <w:rFonts w:ascii="Times New Roman" w:hAnsi="Times New Roman" w:cs="Times New Roman"/>
                <w:noProof/>
              </w:rPr>
              <w:t>26</w:t>
            </w:r>
            <w:r w:rsidR="00AB5A93">
              <w:rPr>
                <w:rFonts w:ascii="Times New Roman" w:hAnsi="Times New Roman" w:cs="Times New Roman"/>
                <w:noProof/>
              </w:rPr>
              <w:fldChar w:fldCharType="end"/>
            </w:r>
          </w:hyperlink>
        </w:p>
        <w:p w:rsidR="00B43A95" w:rsidRDefault="007C3DEB">
          <w:pPr>
            <w:pStyle w:val="10"/>
            <w:tabs>
              <w:tab w:val="right" w:leader="dot" w:pos="8660"/>
            </w:tabs>
            <w:jc w:val="both"/>
            <w:rPr>
              <w:rFonts w:ascii="Times New Roman" w:hAnsi="Times New Roman" w:cs="Times New Roman"/>
              <w:noProof/>
              <w:kern w:val="2"/>
              <w:lang w:val="en-US" w:bidi="ar-SA"/>
            </w:rPr>
          </w:pPr>
          <w:hyperlink w:anchor="_Toc516502504" w:history="1">
            <w:r w:rsidR="00AB5A93">
              <w:rPr>
                <w:rStyle w:val="aa"/>
                <w:rFonts w:ascii="Times New Roman" w:hAnsi="Times New Roman" w:cs="Times New Roman" w:hint="eastAsia"/>
                <w:noProof/>
                <w:lang w:val="en-US"/>
              </w:rPr>
              <w:t>十九、托管协议的效力</w:t>
            </w:r>
            <w:r w:rsidR="00AB5A93">
              <w:rPr>
                <w:rFonts w:ascii="Times New Roman" w:hAnsi="Times New Roman" w:cs="Times New Roman"/>
                <w:noProof/>
              </w:rPr>
              <w:tab/>
            </w:r>
            <w:r w:rsidR="00AB5A93">
              <w:rPr>
                <w:rFonts w:ascii="Times New Roman" w:hAnsi="Times New Roman" w:cs="Times New Roman"/>
                <w:noProof/>
              </w:rPr>
              <w:fldChar w:fldCharType="begin"/>
            </w:r>
            <w:r w:rsidR="00AB5A93">
              <w:rPr>
                <w:rFonts w:ascii="Times New Roman" w:hAnsi="Times New Roman" w:cs="Times New Roman"/>
                <w:noProof/>
              </w:rPr>
              <w:instrText xml:space="preserve"> PAGEREF _Toc516502504 \h </w:instrText>
            </w:r>
            <w:r w:rsidR="00AB5A93">
              <w:rPr>
                <w:rFonts w:ascii="Times New Roman" w:hAnsi="Times New Roman" w:cs="Times New Roman"/>
                <w:noProof/>
              </w:rPr>
            </w:r>
            <w:r w:rsidR="00AB5A93">
              <w:rPr>
                <w:rFonts w:ascii="Times New Roman" w:hAnsi="Times New Roman" w:cs="Times New Roman"/>
                <w:noProof/>
              </w:rPr>
              <w:fldChar w:fldCharType="separate"/>
            </w:r>
            <w:r w:rsidR="002478AE">
              <w:rPr>
                <w:rFonts w:ascii="Times New Roman" w:hAnsi="Times New Roman" w:cs="Times New Roman"/>
                <w:noProof/>
              </w:rPr>
              <w:t>27</w:t>
            </w:r>
            <w:r w:rsidR="00AB5A93">
              <w:rPr>
                <w:rFonts w:ascii="Times New Roman" w:hAnsi="Times New Roman" w:cs="Times New Roman"/>
                <w:noProof/>
              </w:rPr>
              <w:fldChar w:fldCharType="end"/>
            </w:r>
          </w:hyperlink>
        </w:p>
        <w:p w:rsidR="00B43A95" w:rsidRDefault="007C3DEB">
          <w:pPr>
            <w:pStyle w:val="10"/>
            <w:tabs>
              <w:tab w:val="right" w:leader="dot" w:pos="8660"/>
            </w:tabs>
            <w:jc w:val="both"/>
            <w:rPr>
              <w:rFonts w:ascii="Times New Roman" w:hAnsi="Times New Roman" w:cs="Times New Roman"/>
              <w:noProof/>
              <w:kern w:val="2"/>
              <w:lang w:val="en-US" w:bidi="ar-SA"/>
            </w:rPr>
          </w:pPr>
          <w:hyperlink w:anchor="_Toc516502505" w:history="1">
            <w:r w:rsidR="00AB5A93">
              <w:rPr>
                <w:rStyle w:val="aa"/>
                <w:rFonts w:ascii="Times New Roman" w:hAnsi="Times New Roman" w:cs="Times New Roman" w:hint="eastAsia"/>
                <w:noProof/>
                <w:lang w:val="en-US"/>
              </w:rPr>
              <w:t>二十、其他事项</w:t>
            </w:r>
            <w:r w:rsidR="00AB5A93">
              <w:rPr>
                <w:rFonts w:ascii="Times New Roman" w:hAnsi="Times New Roman" w:cs="Times New Roman"/>
                <w:noProof/>
              </w:rPr>
              <w:tab/>
            </w:r>
            <w:r w:rsidR="00AB5A93">
              <w:rPr>
                <w:rFonts w:ascii="Times New Roman" w:hAnsi="Times New Roman" w:cs="Times New Roman"/>
                <w:noProof/>
              </w:rPr>
              <w:fldChar w:fldCharType="begin"/>
            </w:r>
            <w:r w:rsidR="00AB5A93">
              <w:rPr>
                <w:rFonts w:ascii="Times New Roman" w:hAnsi="Times New Roman" w:cs="Times New Roman"/>
                <w:noProof/>
              </w:rPr>
              <w:instrText xml:space="preserve"> PAGEREF _Toc516502505 \h </w:instrText>
            </w:r>
            <w:r w:rsidR="00AB5A93">
              <w:rPr>
                <w:rFonts w:ascii="Times New Roman" w:hAnsi="Times New Roman" w:cs="Times New Roman"/>
                <w:noProof/>
              </w:rPr>
            </w:r>
            <w:r w:rsidR="00AB5A93">
              <w:rPr>
                <w:rFonts w:ascii="Times New Roman" w:hAnsi="Times New Roman" w:cs="Times New Roman"/>
                <w:noProof/>
              </w:rPr>
              <w:fldChar w:fldCharType="separate"/>
            </w:r>
            <w:r w:rsidR="002478AE">
              <w:rPr>
                <w:rFonts w:ascii="Times New Roman" w:hAnsi="Times New Roman" w:cs="Times New Roman"/>
                <w:noProof/>
              </w:rPr>
              <w:t>27</w:t>
            </w:r>
            <w:r w:rsidR="00AB5A93">
              <w:rPr>
                <w:rFonts w:ascii="Times New Roman" w:hAnsi="Times New Roman" w:cs="Times New Roman"/>
                <w:noProof/>
              </w:rPr>
              <w:fldChar w:fldCharType="end"/>
            </w:r>
          </w:hyperlink>
        </w:p>
        <w:p w:rsidR="00B43A95" w:rsidRDefault="007C3DEB">
          <w:pPr>
            <w:pStyle w:val="10"/>
            <w:tabs>
              <w:tab w:val="right" w:leader="dot" w:pos="8660"/>
            </w:tabs>
            <w:jc w:val="both"/>
            <w:rPr>
              <w:rFonts w:ascii="Times New Roman" w:hAnsi="Times New Roman" w:cs="Times New Roman"/>
              <w:noProof/>
              <w:kern w:val="2"/>
              <w:lang w:val="en-US" w:bidi="ar-SA"/>
            </w:rPr>
          </w:pPr>
          <w:hyperlink w:anchor="_Toc516502506" w:history="1">
            <w:r w:rsidR="00AB5A93">
              <w:rPr>
                <w:rStyle w:val="aa"/>
                <w:rFonts w:ascii="Times New Roman" w:hAnsi="Times New Roman" w:cs="Times New Roman" w:hint="eastAsia"/>
                <w:noProof/>
                <w:lang w:val="en-US"/>
              </w:rPr>
              <w:t>二十一、托管协议的签订</w:t>
            </w:r>
            <w:r w:rsidR="00AB5A93">
              <w:rPr>
                <w:rFonts w:ascii="Times New Roman" w:hAnsi="Times New Roman" w:cs="Times New Roman"/>
                <w:noProof/>
              </w:rPr>
              <w:tab/>
            </w:r>
            <w:r w:rsidR="00AB5A93">
              <w:rPr>
                <w:rFonts w:ascii="Times New Roman" w:hAnsi="Times New Roman" w:cs="Times New Roman"/>
                <w:noProof/>
              </w:rPr>
              <w:fldChar w:fldCharType="begin"/>
            </w:r>
            <w:r w:rsidR="00AB5A93">
              <w:rPr>
                <w:rFonts w:ascii="Times New Roman" w:hAnsi="Times New Roman" w:cs="Times New Roman"/>
                <w:noProof/>
              </w:rPr>
              <w:instrText xml:space="preserve"> PAGEREF _Toc516502506 \h </w:instrText>
            </w:r>
            <w:r w:rsidR="00AB5A93">
              <w:rPr>
                <w:rFonts w:ascii="Times New Roman" w:hAnsi="Times New Roman" w:cs="Times New Roman"/>
                <w:noProof/>
              </w:rPr>
            </w:r>
            <w:r w:rsidR="00AB5A93">
              <w:rPr>
                <w:rFonts w:ascii="Times New Roman" w:hAnsi="Times New Roman" w:cs="Times New Roman"/>
                <w:noProof/>
              </w:rPr>
              <w:fldChar w:fldCharType="separate"/>
            </w:r>
            <w:r w:rsidR="002478AE">
              <w:rPr>
                <w:rFonts w:ascii="Times New Roman" w:hAnsi="Times New Roman" w:cs="Times New Roman"/>
                <w:noProof/>
              </w:rPr>
              <w:t>27</w:t>
            </w:r>
            <w:r w:rsidR="00AB5A93">
              <w:rPr>
                <w:rFonts w:ascii="Times New Roman" w:hAnsi="Times New Roman" w:cs="Times New Roman"/>
                <w:noProof/>
              </w:rPr>
              <w:fldChar w:fldCharType="end"/>
            </w:r>
          </w:hyperlink>
        </w:p>
        <w:p w:rsidR="00B43A95" w:rsidRDefault="00AB5A93">
          <w:pPr>
            <w:jc w:val="both"/>
            <w:rPr>
              <w:rFonts w:ascii="Times New Roman" w:hAnsi="Times New Roman" w:cs="Times New Roman"/>
              <w:sz w:val="21"/>
              <w:szCs w:val="21"/>
            </w:rPr>
          </w:pPr>
          <w:r>
            <w:rPr>
              <w:rFonts w:ascii="Times New Roman" w:hAnsi="Times New Roman" w:cs="Times New Roman"/>
              <w:b/>
              <w:bCs/>
              <w:sz w:val="21"/>
              <w:szCs w:val="21"/>
            </w:rPr>
            <w:fldChar w:fldCharType="end"/>
          </w:r>
        </w:p>
      </w:sdtContent>
    </w:sdt>
    <w:p w:rsidR="00B43A95" w:rsidRDefault="00B43A95">
      <w:pPr>
        <w:spacing w:line="360" w:lineRule="auto"/>
        <w:ind w:firstLineChars="200" w:firstLine="420"/>
        <w:jc w:val="both"/>
        <w:rPr>
          <w:rFonts w:ascii="Times New Roman" w:hAnsi="Times New Roman" w:cs="Times New Roman"/>
          <w:sz w:val="21"/>
          <w:szCs w:val="21"/>
        </w:rPr>
      </w:pPr>
    </w:p>
    <w:p w:rsidR="00B43A95" w:rsidRDefault="00B43A95">
      <w:pPr>
        <w:jc w:val="both"/>
        <w:rPr>
          <w:rFonts w:ascii="Times New Roman" w:hAnsi="Times New Roman" w:cs="Times New Roman"/>
          <w:sz w:val="21"/>
          <w:szCs w:val="21"/>
        </w:rPr>
      </w:pPr>
    </w:p>
    <w:p w:rsidR="00B43A95" w:rsidRDefault="00B43A95">
      <w:pPr>
        <w:jc w:val="both"/>
        <w:rPr>
          <w:rFonts w:ascii="Times New Roman" w:hAnsi="Times New Roman" w:cs="Times New Roman"/>
          <w:sz w:val="21"/>
          <w:szCs w:val="21"/>
        </w:rPr>
      </w:pPr>
    </w:p>
    <w:p w:rsidR="00B43A95" w:rsidRDefault="00B43A95">
      <w:pPr>
        <w:jc w:val="both"/>
        <w:rPr>
          <w:rFonts w:ascii="Times New Roman" w:hAnsi="Times New Roman" w:cs="Times New Roman"/>
          <w:sz w:val="21"/>
          <w:szCs w:val="21"/>
        </w:rPr>
      </w:pPr>
    </w:p>
    <w:p w:rsidR="00B43A95" w:rsidRDefault="00AB5A93">
      <w:pPr>
        <w:tabs>
          <w:tab w:val="left" w:pos="5328"/>
        </w:tabs>
        <w:jc w:val="both"/>
        <w:rPr>
          <w:rFonts w:ascii="Times New Roman" w:hAnsi="Times New Roman" w:cs="Times New Roman"/>
          <w:sz w:val="21"/>
          <w:szCs w:val="21"/>
        </w:rPr>
      </w:pPr>
      <w:r>
        <w:rPr>
          <w:rFonts w:ascii="Times New Roman" w:hAnsi="Times New Roman" w:cs="Times New Roman"/>
          <w:sz w:val="21"/>
          <w:szCs w:val="21"/>
        </w:rPr>
        <w:tab/>
      </w:r>
    </w:p>
    <w:p w:rsidR="00B43A95" w:rsidRDefault="00B43A95">
      <w:pPr>
        <w:jc w:val="both"/>
        <w:rPr>
          <w:rFonts w:ascii="Times New Roman" w:hAnsi="Times New Roman" w:cs="Times New Roman"/>
          <w:sz w:val="21"/>
          <w:szCs w:val="21"/>
        </w:rPr>
      </w:pPr>
    </w:p>
    <w:p w:rsidR="00B43A95" w:rsidRDefault="00B43A95">
      <w:pPr>
        <w:jc w:val="both"/>
        <w:rPr>
          <w:rFonts w:ascii="Times New Roman" w:hAnsi="Times New Roman" w:cs="Times New Roman"/>
          <w:sz w:val="21"/>
          <w:szCs w:val="21"/>
        </w:rPr>
        <w:sectPr w:rsidR="00B43A95">
          <w:headerReference w:type="even" r:id="rId9"/>
          <w:headerReference w:type="default" r:id="rId10"/>
          <w:footerReference w:type="default" r:id="rId11"/>
          <w:headerReference w:type="first" r:id="rId12"/>
          <w:pgSz w:w="11910" w:h="16840"/>
          <w:pgMar w:top="1520" w:right="1560" w:bottom="1400" w:left="1680" w:header="737" w:footer="992" w:gutter="0"/>
          <w:pgNumType w:start="1"/>
          <w:cols w:space="720"/>
          <w:docGrid w:linePitch="299"/>
        </w:sectPr>
      </w:pP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lastRenderedPageBreak/>
        <w:t>鉴于广发基金管理有限公司系一家依照中国法律合法成立并有效存续的有限责任公司，按照相关法律法规的规定具备担任基金管理人的资格和能力</w:t>
      </w:r>
      <w:r>
        <w:rPr>
          <w:rFonts w:ascii="Times New Roman" w:hAnsi="Times New Roman" w:cs="Times New Roman"/>
          <w:spacing w:val="-4"/>
          <w:sz w:val="21"/>
          <w:szCs w:val="21"/>
        </w:rPr>
        <w:t>，</w:t>
      </w:r>
      <w:r>
        <w:rPr>
          <w:rFonts w:ascii="Times New Roman" w:hAnsi="Times New Roman" w:cs="Times New Roman" w:hint="eastAsia"/>
          <w:spacing w:val="-4"/>
          <w:sz w:val="21"/>
          <w:szCs w:val="21"/>
        </w:rPr>
        <w:t>拟募集发行广发上证</w:t>
      </w:r>
      <w:r>
        <w:rPr>
          <w:rFonts w:ascii="Times New Roman" w:hAnsi="Times New Roman" w:cs="Times New Roman" w:hint="eastAsia"/>
          <w:spacing w:val="-4"/>
          <w:sz w:val="21"/>
          <w:szCs w:val="21"/>
        </w:rPr>
        <w:t>AAA</w:t>
      </w:r>
      <w:r>
        <w:rPr>
          <w:rFonts w:ascii="Times New Roman" w:hAnsi="Times New Roman" w:cs="Times New Roman" w:hint="eastAsia"/>
          <w:spacing w:val="-4"/>
          <w:sz w:val="21"/>
          <w:szCs w:val="21"/>
        </w:rPr>
        <w:t>科技创新公司债交易型开放式指数证券投资基金；</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鉴于国金证券股份有限公司系一家依照中国法律合法成立并有效存续的证券公司，按照相关法律法规的规定具备担任基金托管人的资格和能力；</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鉴于广发基金管理有限公司拟担任广发上证</w:t>
      </w:r>
      <w:r>
        <w:rPr>
          <w:rFonts w:ascii="Times New Roman" w:hAnsi="Times New Roman" w:cs="Times New Roman" w:hint="eastAsia"/>
          <w:spacing w:val="-4"/>
          <w:sz w:val="21"/>
          <w:szCs w:val="21"/>
        </w:rPr>
        <w:t>AAA</w:t>
      </w:r>
      <w:r>
        <w:rPr>
          <w:rFonts w:ascii="Times New Roman" w:hAnsi="Times New Roman" w:cs="Times New Roman" w:hint="eastAsia"/>
          <w:spacing w:val="-4"/>
          <w:sz w:val="21"/>
          <w:szCs w:val="21"/>
        </w:rPr>
        <w:t>科技创新公司债交易型开放式指数证券投资基金的基金管理人，国金证券股份有限公司拟担任广发上证</w:t>
      </w:r>
      <w:r>
        <w:rPr>
          <w:rFonts w:ascii="Times New Roman" w:hAnsi="Times New Roman" w:cs="Times New Roman" w:hint="eastAsia"/>
          <w:spacing w:val="-4"/>
          <w:sz w:val="21"/>
          <w:szCs w:val="21"/>
        </w:rPr>
        <w:t>AAA</w:t>
      </w:r>
      <w:r>
        <w:rPr>
          <w:rFonts w:ascii="Times New Roman" w:hAnsi="Times New Roman" w:cs="Times New Roman" w:hint="eastAsia"/>
          <w:spacing w:val="-4"/>
          <w:sz w:val="21"/>
          <w:szCs w:val="21"/>
        </w:rPr>
        <w:t>科技创新公司债交易型开放式指数证券投资基金的基金托管人；</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为明确广发上证</w:t>
      </w:r>
      <w:r>
        <w:rPr>
          <w:rFonts w:ascii="Times New Roman" w:hAnsi="Times New Roman" w:cs="Times New Roman" w:hint="eastAsia"/>
          <w:spacing w:val="-4"/>
          <w:sz w:val="21"/>
          <w:szCs w:val="21"/>
        </w:rPr>
        <w:t>AAA</w:t>
      </w:r>
      <w:r>
        <w:rPr>
          <w:rFonts w:ascii="Times New Roman" w:hAnsi="Times New Roman" w:cs="Times New Roman" w:hint="eastAsia"/>
          <w:spacing w:val="-4"/>
          <w:sz w:val="21"/>
          <w:szCs w:val="21"/>
        </w:rPr>
        <w:t>科技创新公司债交易型开放式指数证券投资基金的基金管理人和基金托管人之间的权利义务关系，特制订本托管协议；</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除非另有约定，《广发上证</w:t>
      </w:r>
      <w:r>
        <w:rPr>
          <w:rFonts w:ascii="Times New Roman" w:hAnsi="Times New Roman" w:cs="Times New Roman" w:hint="eastAsia"/>
          <w:spacing w:val="-4"/>
          <w:sz w:val="21"/>
          <w:szCs w:val="21"/>
        </w:rPr>
        <w:t>AAA</w:t>
      </w:r>
      <w:r>
        <w:rPr>
          <w:rFonts w:ascii="Times New Roman" w:hAnsi="Times New Roman" w:cs="Times New Roman" w:hint="eastAsia"/>
          <w:spacing w:val="-4"/>
          <w:sz w:val="21"/>
          <w:szCs w:val="21"/>
        </w:rPr>
        <w:t>科技创新公司债交易型开放式指数证券投资基金基金合同》</w:t>
      </w:r>
      <w:r>
        <w:rPr>
          <w:rFonts w:ascii="Times New Roman" w:hAnsi="Times New Roman" w:cs="Times New Roman"/>
          <w:spacing w:val="-4"/>
          <w:sz w:val="21"/>
          <w:szCs w:val="21"/>
        </w:rPr>
        <w:t>(</w:t>
      </w:r>
      <w:r>
        <w:rPr>
          <w:rFonts w:ascii="Times New Roman" w:hAnsi="Times New Roman" w:cs="Times New Roman" w:hint="eastAsia"/>
          <w:spacing w:val="-4"/>
          <w:sz w:val="21"/>
          <w:szCs w:val="21"/>
        </w:rPr>
        <w:t>以下简称</w:t>
      </w:r>
      <w:r>
        <w:rPr>
          <w:rFonts w:ascii="Times New Roman" w:hAnsi="Times New Roman" w:cs="Times New Roman"/>
          <w:spacing w:val="-4"/>
          <w:sz w:val="21"/>
          <w:szCs w:val="21"/>
        </w:rPr>
        <w:t>“</w:t>
      </w:r>
      <w:r>
        <w:rPr>
          <w:rFonts w:ascii="Times New Roman" w:hAnsi="Times New Roman" w:cs="Times New Roman" w:hint="eastAsia"/>
          <w:spacing w:val="-4"/>
          <w:sz w:val="21"/>
          <w:szCs w:val="21"/>
        </w:rPr>
        <w:t>《基金合同》</w:t>
      </w:r>
      <w:r>
        <w:rPr>
          <w:rFonts w:ascii="Times New Roman" w:hAnsi="Times New Roman" w:cs="Times New Roman"/>
          <w:spacing w:val="-4"/>
          <w:sz w:val="21"/>
          <w:szCs w:val="21"/>
        </w:rPr>
        <w:t>”)</w:t>
      </w:r>
      <w:r>
        <w:rPr>
          <w:rFonts w:ascii="Times New Roman" w:hAnsi="Times New Roman" w:cs="Times New Roman" w:hint="eastAsia"/>
          <w:spacing w:val="-4"/>
          <w:sz w:val="21"/>
          <w:szCs w:val="21"/>
        </w:rPr>
        <w:t>中定义的术语在用于本托管协议时应具有相同的含义；若有抵触应以《基金合同》为准，并依其条款解释。</w:t>
      </w:r>
    </w:p>
    <w:p w:rsidR="00B43A95" w:rsidRDefault="00AB5A93">
      <w:pPr>
        <w:pStyle w:val="1"/>
        <w:spacing w:before="100" w:beforeAutospacing="1" w:after="100" w:afterAutospacing="1"/>
        <w:ind w:left="0"/>
        <w:jc w:val="center"/>
        <w:rPr>
          <w:rFonts w:ascii="Times New Roman" w:eastAsia="宋体" w:hAnsi="Times New Roman" w:cs="Times New Roman"/>
          <w:bCs w:val="0"/>
          <w:color w:val="000000" w:themeColor="text1"/>
          <w:kern w:val="2"/>
          <w:sz w:val="21"/>
          <w:szCs w:val="21"/>
          <w:lang w:val="en-US" w:bidi="ar-SA"/>
        </w:rPr>
      </w:pPr>
      <w:bookmarkStart w:id="1" w:name="_Toc516502486"/>
      <w:r>
        <w:rPr>
          <w:rFonts w:ascii="Times New Roman" w:eastAsia="宋体" w:hAnsi="Times New Roman" w:cs="Times New Roman" w:hint="eastAsia"/>
          <w:bCs w:val="0"/>
          <w:color w:val="000000" w:themeColor="text1"/>
          <w:kern w:val="2"/>
          <w:sz w:val="21"/>
          <w:szCs w:val="21"/>
          <w:lang w:val="en-US" w:bidi="ar-SA"/>
        </w:rPr>
        <w:t>一、基金托管协议当事人</w:t>
      </w:r>
      <w:bookmarkEnd w:id="1"/>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（一）基金管理人</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名称：广发基金管理有限公司</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住所：广东省珠海市横琴新区环岛东路</w:t>
      </w:r>
      <w:r>
        <w:rPr>
          <w:rFonts w:ascii="Times New Roman" w:hAnsi="Times New Roman" w:cs="Times New Roman"/>
          <w:spacing w:val="-4"/>
          <w:sz w:val="21"/>
          <w:szCs w:val="21"/>
        </w:rPr>
        <w:t>3018</w:t>
      </w:r>
      <w:r>
        <w:rPr>
          <w:rFonts w:ascii="Times New Roman" w:hAnsi="Times New Roman" w:cs="Times New Roman"/>
          <w:spacing w:val="-4"/>
          <w:sz w:val="21"/>
          <w:szCs w:val="21"/>
        </w:rPr>
        <w:t>号</w:t>
      </w:r>
      <w:r>
        <w:rPr>
          <w:rFonts w:ascii="Times New Roman" w:hAnsi="Times New Roman" w:cs="Times New Roman"/>
          <w:spacing w:val="-4"/>
          <w:sz w:val="21"/>
          <w:szCs w:val="21"/>
        </w:rPr>
        <w:t>2608</w:t>
      </w:r>
      <w:r>
        <w:rPr>
          <w:rFonts w:ascii="Times New Roman" w:hAnsi="Times New Roman" w:cs="Times New Roman"/>
          <w:spacing w:val="-4"/>
          <w:sz w:val="21"/>
          <w:szCs w:val="21"/>
        </w:rPr>
        <w:t>室</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办公地址：广东省广州市海珠区琶洲大道东</w:t>
      </w:r>
      <w:r>
        <w:rPr>
          <w:rFonts w:ascii="Times New Roman" w:hAnsi="Times New Roman" w:cs="Times New Roman"/>
          <w:spacing w:val="-4"/>
          <w:sz w:val="21"/>
          <w:szCs w:val="21"/>
        </w:rPr>
        <w:t>1</w:t>
      </w:r>
      <w:r>
        <w:rPr>
          <w:rFonts w:ascii="Times New Roman" w:hAnsi="Times New Roman" w:cs="Times New Roman"/>
          <w:spacing w:val="-4"/>
          <w:sz w:val="21"/>
          <w:szCs w:val="21"/>
        </w:rPr>
        <w:t>号保利国际广场南塔</w:t>
      </w:r>
      <w:r>
        <w:rPr>
          <w:rFonts w:ascii="Times New Roman" w:hAnsi="Times New Roman" w:cs="Times New Roman"/>
          <w:spacing w:val="-4"/>
          <w:sz w:val="21"/>
          <w:szCs w:val="21"/>
        </w:rPr>
        <w:t>31</w:t>
      </w:r>
      <w:r>
        <w:rPr>
          <w:rFonts w:ascii="Times New Roman" w:hAnsi="Times New Roman" w:cs="Times New Roman"/>
          <w:spacing w:val="-4"/>
          <w:sz w:val="21"/>
          <w:szCs w:val="21"/>
        </w:rPr>
        <w:t>－</w:t>
      </w:r>
      <w:r>
        <w:rPr>
          <w:rFonts w:ascii="Times New Roman" w:hAnsi="Times New Roman" w:cs="Times New Roman"/>
          <w:spacing w:val="-4"/>
          <w:sz w:val="21"/>
          <w:szCs w:val="21"/>
        </w:rPr>
        <w:t>33</w:t>
      </w:r>
      <w:r>
        <w:rPr>
          <w:rFonts w:ascii="Times New Roman" w:hAnsi="Times New Roman" w:cs="Times New Roman"/>
          <w:spacing w:val="-4"/>
          <w:sz w:val="21"/>
          <w:szCs w:val="21"/>
        </w:rPr>
        <w:t>楼；广东省珠海市横琴新区环岛东路</w:t>
      </w:r>
      <w:r>
        <w:rPr>
          <w:rFonts w:ascii="Times New Roman" w:hAnsi="Times New Roman" w:cs="Times New Roman"/>
          <w:spacing w:val="-4"/>
          <w:sz w:val="21"/>
          <w:szCs w:val="21"/>
        </w:rPr>
        <w:t>3018</w:t>
      </w:r>
      <w:r>
        <w:rPr>
          <w:rFonts w:ascii="Times New Roman" w:hAnsi="Times New Roman" w:cs="Times New Roman"/>
          <w:spacing w:val="-4"/>
          <w:sz w:val="21"/>
          <w:szCs w:val="21"/>
        </w:rPr>
        <w:t>号</w:t>
      </w:r>
      <w:r>
        <w:rPr>
          <w:rFonts w:ascii="Times New Roman" w:hAnsi="Times New Roman" w:cs="Times New Roman"/>
          <w:spacing w:val="-4"/>
          <w:sz w:val="21"/>
          <w:szCs w:val="21"/>
        </w:rPr>
        <w:t>2603-2622</w:t>
      </w:r>
      <w:r>
        <w:rPr>
          <w:rFonts w:ascii="Times New Roman" w:hAnsi="Times New Roman" w:cs="Times New Roman"/>
          <w:spacing w:val="-4"/>
          <w:sz w:val="21"/>
          <w:szCs w:val="21"/>
        </w:rPr>
        <w:t>室</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法定代表人</w:t>
      </w:r>
      <w:r>
        <w:rPr>
          <w:rFonts w:ascii="Times New Roman" w:hAnsi="Times New Roman" w:cs="Times New Roman"/>
          <w:spacing w:val="-4"/>
          <w:sz w:val="21"/>
          <w:szCs w:val="21"/>
        </w:rPr>
        <w:t xml:space="preserve">: </w:t>
      </w:r>
      <w:r>
        <w:rPr>
          <w:rFonts w:ascii="Times New Roman" w:hAnsi="Times New Roman" w:cs="Times New Roman"/>
          <w:spacing w:val="-4"/>
          <w:sz w:val="21"/>
          <w:szCs w:val="21"/>
        </w:rPr>
        <w:t>葛长伟</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成立时间：</w:t>
      </w:r>
      <w:r>
        <w:rPr>
          <w:rFonts w:ascii="Times New Roman" w:hAnsi="Times New Roman" w:cs="Times New Roman"/>
          <w:spacing w:val="-4"/>
          <w:sz w:val="21"/>
          <w:szCs w:val="21"/>
        </w:rPr>
        <w:t>2003</w:t>
      </w:r>
      <w:r>
        <w:rPr>
          <w:rFonts w:ascii="Times New Roman" w:hAnsi="Times New Roman" w:cs="Times New Roman"/>
          <w:spacing w:val="-4"/>
          <w:sz w:val="21"/>
          <w:szCs w:val="21"/>
        </w:rPr>
        <w:t>年</w:t>
      </w:r>
      <w:r>
        <w:rPr>
          <w:rFonts w:ascii="Times New Roman" w:hAnsi="Times New Roman" w:cs="Times New Roman"/>
          <w:spacing w:val="-4"/>
          <w:sz w:val="21"/>
          <w:szCs w:val="21"/>
        </w:rPr>
        <w:t>8</w:t>
      </w:r>
      <w:r>
        <w:rPr>
          <w:rFonts w:ascii="Times New Roman" w:hAnsi="Times New Roman" w:cs="Times New Roman"/>
          <w:spacing w:val="-4"/>
          <w:sz w:val="21"/>
          <w:szCs w:val="21"/>
        </w:rPr>
        <w:t>月</w:t>
      </w:r>
      <w:r>
        <w:rPr>
          <w:rFonts w:ascii="Times New Roman" w:hAnsi="Times New Roman" w:cs="Times New Roman"/>
          <w:spacing w:val="-4"/>
          <w:sz w:val="21"/>
          <w:szCs w:val="21"/>
        </w:rPr>
        <w:t>5</w:t>
      </w:r>
      <w:r>
        <w:rPr>
          <w:rFonts w:ascii="Times New Roman" w:hAnsi="Times New Roman" w:cs="Times New Roman"/>
          <w:spacing w:val="-4"/>
          <w:sz w:val="21"/>
          <w:szCs w:val="21"/>
        </w:rPr>
        <w:t>日</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批准设立机关：中国证券监督管理委员会</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批准设立文号：证监基金字</w:t>
      </w:r>
      <w:r>
        <w:rPr>
          <w:rFonts w:ascii="Times New Roman" w:hAnsi="Times New Roman" w:cs="Times New Roman"/>
          <w:spacing w:val="-4"/>
          <w:sz w:val="21"/>
          <w:szCs w:val="21"/>
        </w:rPr>
        <w:t>[2003]91</w:t>
      </w:r>
      <w:r>
        <w:rPr>
          <w:rFonts w:ascii="Times New Roman" w:hAnsi="Times New Roman" w:cs="Times New Roman"/>
          <w:spacing w:val="-4"/>
          <w:sz w:val="21"/>
          <w:szCs w:val="21"/>
        </w:rPr>
        <w:t>号</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组织形式：有限责任公司</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注册资本：人民币</w:t>
      </w:r>
      <w:r>
        <w:rPr>
          <w:rFonts w:ascii="Times New Roman" w:hAnsi="Times New Roman" w:cs="Times New Roman"/>
          <w:spacing w:val="-4"/>
          <w:sz w:val="21"/>
          <w:szCs w:val="21"/>
        </w:rPr>
        <w:t>14,097.8</w:t>
      </w:r>
      <w:r>
        <w:rPr>
          <w:rFonts w:ascii="Times New Roman" w:hAnsi="Times New Roman" w:cs="Times New Roman"/>
          <w:spacing w:val="-4"/>
          <w:sz w:val="21"/>
          <w:szCs w:val="21"/>
        </w:rPr>
        <w:t>万元</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经营范围：基金募集、基金销售、资产管理、中国证监会许可的其他业务</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存续期间：持续经营</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（二）基金托管人</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名称：国金证券股份有限公司</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住所：四川省成都市东城根上街</w:t>
      </w:r>
      <w:r>
        <w:rPr>
          <w:rFonts w:ascii="Times New Roman" w:hAnsi="Times New Roman" w:cs="Times New Roman"/>
          <w:spacing w:val="-4"/>
          <w:sz w:val="21"/>
          <w:szCs w:val="21"/>
        </w:rPr>
        <w:t>95</w:t>
      </w:r>
      <w:r>
        <w:rPr>
          <w:rFonts w:ascii="Times New Roman" w:hAnsi="Times New Roman" w:cs="Times New Roman" w:hint="eastAsia"/>
          <w:spacing w:val="-4"/>
          <w:sz w:val="21"/>
          <w:szCs w:val="21"/>
        </w:rPr>
        <w:t>号</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lastRenderedPageBreak/>
        <w:t>办公地址：四川省成都市青羊区东城根上街</w:t>
      </w:r>
      <w:r>
        <w:rPr>
          <w:rFonts w:ascii="Times New Roman" w:hAnsi="Times New Roman" w:cs="Times New Roman"/>
          <w:spacing w:val="-4"/>
          <w:sz w:val="21"/>
          <w:szCs w:val="21"/>
        </w:rPr>
        <w:t>95</w:t>
      </w:r>
      <w:r>
        <w:rPr>
          <w:rFonts w:ascii="Times New Roman" w:hAnsi="Times New Roman" w:cs="Times New Roman" w:hint="eastAsia"/>
          <w:spacing w:val="-4"/>
          <w:sz w:val="21"/>
          <w:szCs w:val="21"/>
        </w:rPr>
        <w:t>号</w:t>
      </w:r>
      <w:r>
        <w:rPr>
          <w:rFonts w:ascii="Times New Roman" w:hAnsi="Times New Roman" w:cs="Times New Roman"/>
          <w:spacing w:val="-4"/>
          <w:sz w:val="21"/>
          <w:szCs w:val="21"/>
        </w:rPr>
        <w:t>13</w:t>
      </w:r>
      <w:r>
        <w:rPr>
          <w:rFonts w:ascii="Times New Roman" w:hAnsi="Times New Roman" w:cs="Times New Roman" w:hint="eastAsia"/>
          <w:spacing w:val="-4"/>
          <w:sz w:val="21"/>
          <w:szCs w:val="21"/>
        </w:rPr>
        <w:t>楼；上海市浦东新区芳甸路</w:t>
      </w:r>
      <w:r>
        <w:rPr>
          <w:rFonts w:ascii="Times New Roman" w:hAnsi="Times New Roman" w:cs="Times New Roman"/>
          <w:spacing w:val="-4"/>
          <w:sz w:val="21"/>
          <w:szCs w:val="21"/>
        </w:rPr>
        <w:t>1088</w:t>
      </w:r>
      <w:r>
        <w:rPr>
          <w:rFonts w:ascii="Times New Roman" w:hAnsi="Times New Roman" w:cs="Times New Roman" w:hint="eastAsia"/>
          <w:spacing w:val="-4"/>
          <w:sz w:val="21"/>
          <w:szCs w:val="21"/>
        </w:rPr>
        <w:t>号</w:t>
      </w:r>
      <w:r>
        <w:rPr>
          <w:rFonts w:ascii="Times New Roman" w:hAnsi="Times New Roman" w:cs="Times New Roman"/>
          <w:spacing w:val="-4"/>
          <w:sz w:val="21"/>
          <w:szCs w:val="21"/>
        </w:rPr>
        <w:t>18</w:t>
      </w:r>
      <w:r>
        <w:rPr>
          <w:rFonts w:ascii="Times New Roman" w:hAnsi="Times New Roman" w:cs="Times New Roman" w:hint="eastAsia"/>
          <w:spacing w:val="-4"/>
          <w:sz w:val="21"/>
          <w:szCs w:val="21"/>
        </w:rPr>
        <w:t>楼</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法定代表人：冉云</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成立时间：</w:t>
      </w:r>
      <w:r>
        <w:rPr>
          <w:rFonts w:ascii="Times New Roman" w:hAnsi="Times New Roman" w:cs="Times New Roman"/>
          <w:spacing w:val="-4"/>
          <w:sz w:val="21"/>
          <w:szCs w:val="21"/>
        </w:rPr>
        <w:t>1996</w:t>
      </w:r>
      <w:r>
        <w:rPr>
          <w:rFonts w:ascii="Times New Roman" w:hAnsi="Times New Roman" w:cs="Times New Roman" w:hint="eastAsia"/>
          <w:spacing w:val="-4"/>
          <w:sz w:val="21"/>
          <w:szCs w:val="21"/>
        </w:rPr>
        <w:t>年</w:t>
      </w:r>
      <w:r>
        <w:rPr>
          <w:rFonts w:ascii="Times New Roman" w:hAnsi="Times New Roman" w:cs="Times New Roman"/>
          <w:spacing w:val="-4"/>
          <w:sz w:val="21"/>
          <w:szCs w:val="21"/>
        </w:rPr>
        <w:t>12</w:t>
      </w:r>
      <w:r>
        <w:rPr>
          <w:rFonts w:ascii="Times New Roman" w:hAnsi="Times New Roman" w:cs="Times New Roman" w:hint="eastAsia"/>
          <w:spacing w:val="-4"/>
          <w:sz w:val="21"/>
          <w:szCs w:val="21"/>
        </w:rPr>
        <w:t>月</w:t>
      </w:r>
      <w:r>
        <w:rPr>
          <w:rFonts w:ascii="Times New Roman" w:hAnsi="Times New Roman" w:cs="Times New Roman"/>
          <w:spacing w:val="-4"/>
          <w:sz w:val="21"/>
          <w:szCs w:val="21"/>
        </w:rPr>
        <w:t>20</w:t>
      </w:r>
      <w:r>
        <w:rPr>
          <w:rFonts w:ascii="Times New Roman" w:hAnsi="Times New Roman" w:cs="Times New Roman" w:hint="eastAsia"/>
          <w:spacing w:val="-4"/>
          <w:sz w:val="21"/>
          <w:szCs w:val="21"/>
        </w:rPr>
        <w:t>日</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批准设立机关及批准设立文号：中国人民银行银复</w:t>
      </w:r>
      <w:r>
        <w:rPr>
          <w:rFonts w:ascii="Times New Roman" w:hAnsi="Times New Roman" w:cs="Times New Roman"/>
          <w:spacing w:val="-4"/>
          <w:sz w:val="21"/>
          <w:szCs w:val="21"/>
        </w:rPr>
        <w:t>[1990]498</w:t>
      </w:r>
      <w:r>
        <w:rPr>
          <w:rFonts w:ascii="Times New Roman" w:hAnsi="Times New Roman" w:cs="Times New Roman" w:hint="eastAsia"/>
          <w:spacing w:val="-4"/>
          <w:sz w:val="21"/>
          <w:szCs w:val="21"/>
        </w:rPr>
        <w:t>号</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组织形式：股份有限公司</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注册资本：</w:t>
      </w:r>
      <w:r>
        <w:rPr>
          <w:rFonts w:ascii="Times New Roman" w:hAnsi="Times New Roman" w:cs="Times New Roman"/>
          <w:spacing w:val="-4"/>
          <w:sz w:val="21"/>
          <w:szCs w:val="21"/>
        </w:rPr>
        <w:t>3,724,359,310</w:t>
      </w:r>
      <w:r>
        <w:rPr>
          <w:rFonts w:ascii="Times New Roman" w:hAnsi="Times New Roman" w:cs="Times New Roman" w:hint="eastAsia"/>
          <w:spacing w:val="-4"/>
          <w:sz w:val="21"/>
          <w:szCs w:val="21"/>
        </w:rPr>
        <w:t>元人民币</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存续期间：持续经营</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基金托管业务批准文号：证监许可〔</w:t>
      </w:r>
      <w:r>
        <w:rPr>
          <w:rFonts w:ascii="Times New Roman" w:hAnsi="Times New Roman" w:cs="Times New Roman"/>
          <w:spacing w:val="-4"/>
          <w:sz w:val="21"/>
          <w:szCs w:val="21"/>
        </w:rPr>
        <w:t>2017</w:t>
      </w:r>
      <w:r>
        <w:rPr>
          <w:rFonts w:ascii="Times New Roman" w:hAnsi="Times New Roman" w:cs="Times New Roman" w:hint="eastAsia"/>
          <w:spacing w:val="-4"/>
          <w:sz w:val="21"/>
          <w:szCs w:val="21"/>
        </w:rPr>
        <w:t>〕</w:t>
      </w:r>
      <w:r>
        <w:rPr>
          <w:rFonts w:ascii="Times New Roman" w:hAnsi="Times New Roman" w:cs="Times New Roman"/>
          <w:spacing w:val="-4"/>
          <w:sz w:val="21"/>
          <w:szCs w:val="21"/>
        </w:rPr>
        <w:t>990</w:t>
      </w:r>
      <w:r>
        <w:rPr>
          <w:rFonts w:ascii="Times New Roman" w:hAnsi="Times New Roman" w:cs="Times New Roman" w:hint="eastAsia"/>
          <w:spacing w:val="-4"/>
          <w:sz w:val="21"/>
          <w:szCs w:val="21"/>
        </w:rPr>
        <w:t>号</w:t>
      </w:r>
    </w:p>
    <w:p w:rsidR="00B43A95" w:rsidRDefault="00AB5A93">
      <w:pPr>
        <w:pStyle w:val="1"/>
        <w:spacing w:before="100" w:beforeAutospacing="1" w:after="100" w:afterAutospacing="1"/>
        <w:ind w:left="0"/>
        <w:jc w:val="center"/>
        <w:rPr>
          <w:rFonts w:ascii="Times New Roman" w:eastAsia="宋体" w:hAnsi="Times New Roman" w:cs="Times New Roman"/>
          <w:bCs w:val="0"/>
          <w:color w:val="000000" w:themeColor="text1"/>
          <w:kern w:val="2"/>
          <w:sz w:val="21"/>
          <w:szCs w:val="21"/>
          <w:lang w:val="en-US" w:bidi="ar-SA"/>
        </w:rPr>
      </w:pPr>
      <w:bookmarkStart w:id="2" w:name="_Toc516502487"/>
      <w:r>
        <w:rPr>
          <w:rFonts w:ascii="Times New Roman" w:eastAsia="宋体" w:hAnsi="Times New Roman" w:cs="Times New Roman" w:hint="eastAsia"/>
          <w:bCs w:val="0"/>
          <w:color w:val="000000" w:themeColor="text1"/>
          <w:kern w:val="2"/>
          <w:sz w:val="21"/>
          <w:szCs w:val="21"/>
          <w:lang w:val="en-US" w:bidi="ar-SA"/>
        </w:rPr>
        <w:t>二、基金托管协议的依据、目的和原则</w:t>
      </w:r>
      <w:bookmarkEnd w:id="2"/>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（一）订立托管协议的依据</w:t>
      </w:r>
    </w:p>
    <w:p w:rsidR="00B43A95" w:rsidRDefault="00AB5A93">
      <w:pPr>
        <w:adjustRightInd w:val="0"/>
        <w:snapToGrid w:val="0"/>
        <w:spacing w:line="360" w:lineRule="auto"/>
        <w:ind w:firstLineChars="200" w:firstLine="420"/>
        <w:jc w:val="both"/>
        <w:rPr>
          <w:rFonts w:ascii="Times New Roman" w:hAnsi="Times New Roman" w:cs="Times New Roman"/>
          <w:spacing w:val="-4"/>
          <w:sz w:val="21"/>
          <w:szCs w:val="21"/>
        </w:rPr>
      </w:pPr>
      <w:r>
        <w:rPr>
          <w:rFonts w:ascii="Times New Roman" w:hAnsi="Times New Roman" w:cs="Times New Roman" w:hint="eastAsia"/>
          <w:color w:val="000000"/>
          <w:sz w:val="21"/>
          <w:szCs w:val="21"/>
        </w:rPr>
        <w:t>本协议依据《中华人民共和国民法典》《中华人民共和国证券法》（以下简称</w:t>
      </w:r>
      <w:r>
        <w:rPr>
          <w:rFonts w:ascii="Times New Roman" w:hAnsi="Times New Roman" w:cs="Times New Roman"/>
          <w:color w:val="000000"/>
          <w:sz w:val="21"/>
          <w:szCs w:val="21"/>
        </w:rPr>
        <w:t>“</w:t>
      </w:r>
      <w:r>
        <w:rPr>
          <w:rFonts w:ascii="Times New Roman" w:hAnsi="Times New Roman" w:cs="Times New Roman" w:hint="eastAsia"/>
          <w:color w:val="000000"/>
          <w:sz w:val="21"/>
          <w:szCs w:val="21"/>
        </w:rPr>
        <w:t>《证券法》</w:t>
      </w:r>
      <w:r>
        <w:rPr>
          <w:rFonts w:ascii="Times New Roman" w:hAnsi="Times New Roman" w:cs="Times New Roman"/>
          <w:color w:val="000000"/>
          <w:sz w:val="21"/>
          <w:szCs w:val="21"/>
        </w:rPr>
        <w:t>”</w:t>
      </w:r>
      <w:r>
        <w:rPr>
          <w:rFonts w:ascii="Times New Roman" w:hAnsi="Times New Roman" w:cs="Times New Roman" w:hint="eastAsia"/>
          <w:color w:val="000000"/>
          <w:sz w:val="21"/>
          <w:szCs w:val="21"/>
        </w:rPr>
        <w:t>）、《中华人民共和国证券投资基金法》（以下简称</w:t>
      </w:r>
      <w:r>
        <w:rPr>
          <w:rFonts w:ascii="Times New Roman" w:hAnsi="Times New Roman" w:cs="Times New Roman"/>
          <w:color w:val="000000"/>
          <w:sz w:val="21"/>
          <w:szCs w:val="21"/>
        </w:rPr>
        <w:t>“</w:t>
      </w:r>
      <w:r>
        <w:rPr>
          <w:rFonts w:ascii="Times New Roman" w:hAnsi="Times New Roman" w:cs="Times New Roman" w:hint="eastAsia"/>
          <w:color w:val="000000"/>
          <w:sz w:val="21"/>
          <w:szCs w:val="21"/>
        </w:rPr>
        <w:t>《基金法》</w:t>
      </w:r>
      <w:r>
        <w:rPr>
          <w:rFonts w:ascii="Times New Roman" w:hAnsi="Times New Roman" w:cs="Times New Roman"/>
          <w:color w:val="000000"/>
          <w:sz w:val="21"/>
          <w:szCs w:val="21"/>
        </w:rPr>
        <w:t>”</w:t>
      </w:r>
      <w:r>
        <w:rPr>
          <w:rFonts w:ascii="Times New Roman" w:hAnsi="Times New Roman" w:cs="Times New Roman" w:hint="eastAsia"/>
          <w:color w:val="000000"/>
          <w:sz w:val="21"/>
          <w:szCs w:val="21"/>
        </w:rPr>
        <w:t>）、《公开募集证券投资基金销售机构监督管理办法》（以下简称</w:t>
      </w:r>
      <w:r>
        <w:rPr>
          <w:rFonts w:ascii="Times New Roman" w:hAnsi="Times New Roman" w:cs="Times New Roman"/>
          <w:color w:val="000000"/>
          <w:sz w:val="21"/>
          <w:szCs w:val="21"/>
        </w:rPr>
        <w:t>“</w:t>
      </w:r>
      <w:r>
        <w:rPr>
          <w:rFonts w:ascii="Times New Roman" w:hAnsi="Times New Roman" w:cs="Times New Roman" w:hint="eastAsia"/>
          <w:color w:val="000000"/>
          <w:sz w:val="21"/>
          <w:szCs w:val="21"/>
        </w:rPr>
        <w:t>《销售办法》</w:t>
      </w:r>
      <w:r>
        <w:rPr>
          <w:rFonts w:ascii="Times New Roman" w:hAnsi="Times New Roman" w:cs="Times New Roman"/>
          <w:color w:val="000000"/>
          <w:sz w:val="21"/>
          <w:szCs w:val="21"/>
        </w:rPr>
        <w:t>”</w:t>
      </w:r>
      <w:r>
        <w:rPr>
          <w:rFonts w:ascii="Times New Roman" w:hAnsi="Times New Roman" w:cs="Times New Roman" w:hint="eastAsia"/>
          <w:color w:val="000000"/>
          <w:sz w:val="21"/>
          <w:szCs w:val="21"/>
        </w:rPr>
        <w:t>）、《公开募集证券投资基金运作管理办法》（以下简称</w:t>
      </w:r>
      <w:r>
        <w:rPr>
          <w:rFonts w:ascii="Times New Roman" w:hAnsi="Times New Roman" w:cs="Times New Roman"/>
          <w:color w:val="000000"/>
          <w:sz w:val="21"/>
          <w:szCs w:val="21"/>
        </w:rPr>
        <w:t>“</w:t>
      </w:r>
      <w:r>
        <w:rPr>
          <w:rFonts w:ascii="Times New Roman" w:hAnsi="Times New Roman" w:cs="Times New Roman" w:hint="eastAsia"/>
          <w:color w:val="000000"/>
          <w:sz w:val="21"/>
          <w:szCs w:val="21"/>
        </w:rPr>
        <w:t>《运作办法》</w:t>
      </w:r>
      <w:r>
        <w:rPr>
          <w:rFonts w:ascii="Times New Roman" w:hAnsi="Times New Roman" w:cs="Times New Roman"/>
          <w:color w:val="000000"/>
          <w:sz w:val="21"/>
          <w:szCs w:val="21"/>
        </w:rPr>
        <w:t>”</w:t>
      </w:r>
      <w:r>
        <w:rPr>
          <w:rFonts w:ascii="Times New Roman" w:hAnsi="Times New Roman" w:cs="Times New Roman" w:hint="eastAsia"/>
          <w:color w:val="000000"/>
          <w:sz w:val="21"/>
          <w:szCs w:val="21"/>
        </w:rPr>
        <w:t>）、《公开募集证券投资基金信息披露管理办法》（以下简称</w:t>
      </w:r>
      <w:r>
        <w:rPr>
          <w:rFonts w:ascii="Times New Roman" w:hAnsi="Times New Roman" w:cs="Times New Roman"/>
          <w:color w:val="000000"/>
          <w:sz w:val="21"/>
          <w:szCs w:val="21"/>
        </w:rPr>
        <w:t>“</w:t>
      </w:r>
      <w:r>
        <w:rPr>
          <w:rFonts w:ascii="Times New Roman" w:hAnsi="Times New Roman" w:cs="Times New Roman" w:hint="eastAsia"/>
          <w:color w:val="000000"/>
          <w:sz w:val="21"/>
          <w:szCs w:val="21"/>
        </w:rPr>
        <w:t>《信息披露办法》</w:t>
      </w:r>
      <w:r>
        <w:rPr>
          <w:rFonts w:ascii="Times New Roman" w:hAnsi="Times New Roman" w:cs="Times New Roman"/>
          <w:color w:val="000000"/>
          <w:sz w:val="21"/>
          <w:szCs w:val="21"/>
        </w:rPr>
        <w:t>”</w:t>
      </w:r>
      <w:r>
        <w:rPr>
          <w:rFonts w:ascii="Times New Roman" w:hAnsi="Times New Roman" w:cs="Times New Roman" w:hint="eastAsia"/>
          <w:color w:val="000000"/>
          <w:sz w:val="21"/>
          <w:szCs w:val="21"/>
        </w:rPr>
        <w:t>）、《证券投资基金信息披露内容与格式准则第</w:t>
      </w:r>
      <w:r>
        <w:rPr>
          <w:rFonts w:ascii="Times New Roman" w:hAnsi="Times New Roman" w:cs="Times New Roman"/>
          <w:color w:val="000000"/>
          <w:sz w:val="21"/>
          <w:szCs w:val="21"/>
        </w:rPr>
        <w:t>7</w:t>
      </w:r>
      <w:r>
        <w:rPr>
          <w:rFonts w:ascii="Times New Roman" w:hAnsi="Times New Roman" w:cs="Times New Roman" w:hint="eastAsia"/>
          <w:color w:val="000000"/>
          <w:sz w:val="21"/>
          <w:szCs w:val="21"/>
        </w:rPr>
        <w:t>号〈托管协议的内容与格式〉》《公开募集开放式证券投资基金流动性风险管理规定》（以下简称</w:t>
      </w:r>
      <w:r>
        <w:rPr>
          <w:rFonts w:ascii="Times New Roman" w:hAnsi="Times New Roman" w:cs="Times New Roman"/>
          <w:color w:val="000000"/>
          <w:sz w:val="21"/>
          <w:szCs w:val="21"/>
        </w:rPr>
        <w:t>“</w:t>
      </w:r>
      <w:r>
        <w:rPr>
          <w:rFonts w:ascii="Times New Roman" w:hAnsi="Times New Roman" w:cs="Times New Roman" w:hint="eastAsia"/>
          <w:color w:val="000000"/>
          <w:sz w:val="21"/>
          <w:szCs w:val="21"/>
        </w:rPr>
        <w:t>《流动性风险管理规定》</w:t>
      </w:r>
      <w:r>
        <w:rPr>
          <w:rFonts w:ascii="Times New Roman" w:hAnsi="Times New Roman" w:cs="Times New Roman"/>
          <w:color w:val="000000"/>
          <w:sz w:val="21"/>
          <w:szCs w:val="21"/>
        </w:rPr>
        <w:t>”</w:t>
      </w:r>
      <w:r>
        <w:rPr>
          <w:rFonts w:ascii="Times New Roman" w:hAnsi="Times New Roman" w:cs="Times New Roman" w:hint="eastAsia"/>
          <w:color w:val="000000"/>
          <w:sz w:val="21"/>
          <w:szCs w:val="21"/>
        </w:rPr>
        <w:t>）、《公开募集证券投资基金运作指引第</w:t>
      </w:r>
      <w:r>
        <w:rPr>
          <w:rFonts w:ascii="Times New Roman" w:hAnsi="Times New Roman" w:cs="Times New Roman"/>
          <w:color w:val="000000"/>
          <w:sz w:val="21"/>
          <w:szCs w:val="21"/>
        </w:rPr>
        <w:t>3</w:t>
      </w:r>
      <w:r>
        <w:rPr>
          <w:rFonts w:ascii="Times New Roman" w:hAnsi="Times New Roman" w:cs="Times New Roman" w:hint="eastAsia"/>
          <w:color w:val="000000"/>
          <w:sz w:val="21"/>
          <w:szCs w:val="21"/>
        </w:rPr>
        <w:t>号</w:t>
      </w:r>
      <w:r>
        <w:rPr>
          <w:rFonts w:ascii="Times New Roman" w:hAnsi="Times New Roman" w:cs="Times New Roman"/>
          <w:color w:val="000000"/>
          <w:sz w:val="21"/>
          <w:szCs w:val="21"/>
        </w:rPr>
        <w:t>——</w:t>
      </w:r>
      <w:r>
        <w:rPr>
          <w:rFonts w:ascii="Times New Roman" w:hAnsi="Times New Roman" w:cs="Times New Roman" w:hint="eastAsia"/>
          <w:color w:val="000000"/>
          <w:sz w:val="21"/>
          <w:szCs w:val="21"/>
        </w:rPr>
        <w:t>指数基金指引》（以下简称</w:t>
      </w:r>
      <w:r>
        <w:rPr>
          <w:rFonts w:ascii="Times New Roman" w:hAnsi="Times New Roman" w:cs="Times New Roman"/>
          <w:color w:val="000000"/>
          <w:sz w:val="21"/>
          <w:szCs w:val="21"/>
        </w:rPr>
        <w:t>“</w:t>
      </w:r>
      <w:r>
        <w:rPr>
          <w:rFonts w:ascii="Times New Roman" w:hAnsi="Times New Roman" w:cs="Times New Roman" w:hint="eastAsia"/>
          <w:color w:val="000000"/>
          <w:sz w:val="21"/>
          <w:szCs w:val="21"/>
        </w:rPr>
        <w:t>《指数基金指引》</w:t>
      </w:r>
      <w:r>
        <w:rPr>
          <w:rFonts w:ascii="Times New Roman" w:hAnsi="Times New Roman" w:cs="Times New Roman"/>
          <w:color w:val="000000"/>
          <w:sz w:val="21"/>
          <w:szCs w:val="21"/>
        </w:rPr>
        <w:t>”</w:t>
      </w:r>
      <w:r>
        <w:rPr>
          <w:rFonts w:ascii="Times New Roman" w:hAnsi="Times New Roman" w:cs="Times New Roman" w:hint="eastAsia"/>
          <w:color w:val="000000"/>
          <w:sz w:val="21"/>
          <w:szCs w:val="21"/>
        </w:rPr>
        <w:t>）、《广发上证</w:t>
      </w:r>
      <w:r>
        <w:rPr>
          <w:rFonts w:ascii="Times New Roman" w:hAnsi="Times New Roman" w:cs="Times New Roman" w:hint="eastAsia"/>
          <w:color w:val="000000"/>
          <w:sz w:val="21"/>
          <w:szCs w:val="21"/>
        </w:rPr>
        <w:t>AAA</w:t>
      </w:r>
      <w:r>
        <w:rPr>
          <w:rFonts w:ascii="Times New Roman" w:hAnsi="Times New Roman" w:cs="Times New Roman" w:hint="eastAsia"/>
          <w:color w:val="000000"/>
          <w:sz w:val="21"/>
          <w:szCs w:val="21"/>
        </w:rPr>
        <w:t>科技创新公司债交易型开放式指数证券投资基金基金合同》及其他有关规定订立。</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（二）订立托管协议的目的</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（三）订立托管协议的原则</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基金管理人和基金托管人本着平等自愿、诚实信用、充分保护基金投资者合法权益的原则，经协商一致，签订本协议。</w:t>
      </w:r>
    </w:p>
    <w:p w:rsidR="00B43A95" w:rsidRDefault="00B43A95">
      <w:pPr>
        <w:spacing w:line="360" w:lineRule="auto"/>
        <w:jc w:val="both"/>
        <w:rPr>
          <w:rFonts w:ascii="Times New Roman" w:hAnsi="Times New Roman" w:cs="Times New Roman"/>
          <w:spacing w:val="-4"/>
          <w:sz w:val="21"/>
          <w:szCs w:val="21"/>
        </w:rPr>
      </w:pPr>
    </w:p>
    <w:p w:rsidR="00B43A95" w:rsidRDefault="00AB5A93">
      <w:pPr>
        <w:pStyle w:val="1"/>
        <w:spacing w:before="100" w:beforeAutospacing="1" w:after="100" w:afterAutospacing="1"/>
        <w:ind w:left="0"/>
        <w:jc w:val="center"/>
        <w:rPr>
          <w:rFonts w:ascii="Times New Roman" w:eastAsia="宋体" w:hAnsi="Times New Roman" w:cs="Times New Roman"/>
          <w:bCs w:val="0"/>
          <w:color w:val="000000" w:themeColor="text1"/>
          <w:kern w:val="2"/>
          <w:sz w:val="21"/>
          <w:szCs w:val="21"/>
          <w:lang w:val="en-US" w:bidi="ar-SA"/>
        </w:rPr>
      </w:pPr>
      <w:bookmarkStart w:id="3" w:name="_Toc516502488"/>
      <w:r>
        <w:rPr>
          <w:rFonts w:ascii="Times New Roman" w:eastAsia="宋体" w:hAnsi="Times New Roman" w:cs="Times New Roman" w:hint="eastAsia"/>
          <w:bCs w:val="0"/>
          <w:color w:val="000000" w:themeColor="text1"/>
          <w:kern w:val="2"/>
          <w:sz w:val="21"/>
          <w:szCs w:val="21"/>
          <w:lang w:val="en-US" w:bidi="ar-SA"/>
        </w:rPr>
        <w:t>三、基金托管人对基金管理人的业务监督和核查</w:t>
      </w:r>
      <w:bookmarkEnd w:id="3"/>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（一）基金托管人根据有关法律法规的规定及《基金合同》的约定，对基金投资范围、投资对象进行监督。</w:t>
      </w:r>
    </w:p>
    <w:p w:rsidR="00B43A95" w:rsidRDefault="00AB5A93">
      <w:pPr>
        <w:spacing w:line="360" w:lineRule="auto"/>
        <w:ind w:firstLineChars="200" w:firstLine="420"/>
        <w:jc w:val="both"/>
        <w:rPr>
          <w:rFonts w:ascii="Times New Roman" w:hAnsi="Times New Roman" w:cs="Times New Roman"/>
          <w:bCs/>
          <w:sz w:val="21"/>
          <w:szCs w:val="21"/>
        </w:rPr>
      </w:pPr>
      <w:r>
        <w:rPr>
          <w:rFonts w:ascii="Times New Roman" w:hAnsi="Times New Roman" w:cs="Times New Roman" w:hint="eastAsia"/>
          <w:bCs/>
          <w:sz w:val="21"/>
          <w:szCs w:val="21"/>
        </w:rPr>
        <w:lastRenderedPageBreak/>
        <w:t>本基金主要投资于标的指数（上证</w:t>
      </w:r>
      <w:r>
        <w:rPr>
          <w:rFonts w:ascii="Times New Roman" w:hAnsi="Times New Roman" w:cs="Times New Roman"/>
          <w:bCs/>
          <w:sz w:val="21"/>
          <w:szCs w:val="21"/>
        </w:rPr>
        <w:t>AAA</w:t>
      </w:r>
      <w:r>
        <w:rPr>
          <w:rFonts w:ascii="Times New Roman" w:hAnsi="Times New Roman" w:cs="Times New Roman"/>
          <w:bCs/>
          <w:sz w:val="21"/>
          <w:szCs w:val="21"/>
        </w:rPr>
        <w:t>科技创新公司债指数）成份券、备选成份券。本基金还可投资于其他债券（包括国债、央行票据、地方政府债、金融债、企业债、公司债、次级债、政府支持债券、政府支持机构债券、可分离交易可转债的纯债部分、中期票据、短期融资券、超短期融资券）、货币市场工具、银行存款、同业存单、资产支持证券、债券回购、信用衍生品、国债期货以及法律法规或中国证监会允许基金投资的其他金融工具（但须符合中国证监会的相关规定）。</w:t>
      </w:r>
    </w:p>
    <w:p w:rsidR="00B43A95" w:rsidRDefault="00AB5A93">
      <w:pPr>
        <w:spacing w:line="360" w:lineRule="auto"/>
        <w:ind w:firstLineChars="200" w:firstLine="420"/>
        <w:jc w:val="both"/>
        <w:rPr>
          <w:rFonts w:ascii="Times New Roman" w:hAnsi="Times New Roman" w:cs="Times New Roman"/>
          <w:bCs/>
          <w:sz w:val="21"/>
          <w:szCs w:val="21"/>
        </w:rPr>
      </w:pPr>
      <w:r>
        <w:rPr>
          <w:rFonts w:ascii="Times New Roman" w:hAnsi="Times New Roman" w:cs="Times New Roman" w:hint="eastAsia"/>
          <w:bCs/>
          <w:sz w:val="21"/>
          <w:szCs w:val="21"/>
        </w:rPr>
        <w:t>如法律法规或监管机构以后允许基金投资其他品种，基金管理人在履行适当程序后，可以将其纳入投资范围，其投资比例遵循届时有效的法律法规和相关规定。</w:t>
      </w:r>
    </w:p>
    <w:p w:rsidR="00B43A95" w:rsidRDefault="00AB5A93">
      <w:pPr>
        <w:spacing w:line="360" w:lineRule="auto"/>
        <w:ind w:firstLineChars="200" w:firstLine="420"/>
        <w:jc w:val="both"/>
        <w:rPr>
          <w:rFonts w:ascii="Times New Roman" w:hAnsi="Times New Roman" w:cs="Times New Roman"/>
          <w:bCs/>
          <w:sz w:val="21"/>
          <w:szCs w:val="21"/>
        </w:rPr>
      </w:pPr>
      <w:r>
        <w:rPr>
          <w:rFonts w:ascii="Times New Roman" w:hAnsi="Times New Roman" w:cs="Times New Roman" w:hint="eastAsia"/>
          <w:bCs/>
          <w:sz w:val="21"/>
          <w:szCs w:val="21"/>
        </w:rPr>
        <w:t>在建仓完成后，本基金投资于债券资产的比例不低于基金资产的</w:t>
      </w:r>
      <w:r>
        <w:rPr>
          <w:rFonts w:ascii="Times New Roman" w:hAnsi="Times New Roman" w:cs="Times New Roman"/>
          <w:bCs/>
          <w:sz w:val="21"/>
          <w:szCs w:val="21"/>
        </w:rPr>
        <w:t>80%</w:t>
      </w:r>
      <w:r>
        <w:rPr>
          <w:rFonts w:ascii="Times New Roman" w:hAnsi="Times New Roman" w:cs="Times New Roman"/>
          <w:bCs/>
          <w:sz w:val="21"/>
          <w:szCs w:val="21"/>
        </w:rPr>
        <w:t>，投资于标的指数成份券和备选成份券的比例不低于基金资产净值的</w:t>
      </w:r>
      <w:r>
        <w:rPr>
          <w:rFonts w:ascii="Times New Roman" w:hAnsi="Times New Roman" w:cs="Times New Roman"/>
          <w:bCs/>
          <w:sz w:val="21"/>
          <w:szCs w:val="21"/>
        </w:rPr>
        <w:t>90%</w:t>
      </w:r>
      <w:r>
        <w:rPr>
          <w:rFonts w:ascii="Times New Roman" w:hAnsi="Times New Roman" w:cs="Times New Roman"/>
          <w:bCs/>
          <w:sz w:val="21"/>
          <w:szCs w:val="21"/>
        </w:rPr>
        <w:t>，且不低于非现金基金资产的</w:t>
      </w:r>
      <w:r>
        <w:rPr>
          <w:rFonts w:ascii="Times New Roman" w:hAnsi="Times New Roman" w:cs="Times New Roman"/>
          <w:bCs/>
          <w:sz w:val="21"/>
          <w:szCs w:val="21"/>
        </w:rPr>
        <w:t>80%</w:t>
      </w:r>
      <w:r>
        <w:rPr>
          <w:rFonts w:ascii="Times New Roman" w:hAnsi="Times New Roman" w:cs="Times New Roman"/>
          <w:bCs/>
          <w:sz w:val="21"/>
          <w:szCs w:val="21"/>
        </w:rPr>
        <w:t>。每个交易日日终在扣除国债期货合约需缴纳的交易保证金后，应当保持不低于交易保证金一倍的现金，其中现金不包括结算备付金、存出保证金、应收申购款等。</w:t>
      </w:r>
    </w:p>
    <w:p w:rsidR="00B43A95" w:rsidRDefault="00AB5A93">
      <w:pPr>
        <w:spacing w:line="360" w:lineRule="auto"/>
        <w:ind w:firstLineChars="200" w:firstLine="420"/>
        <w:jc w:val="both"/>
        <w:rPr>
          <w:rFonts w:ascii="Times New Roman" w:hAnsi="Times New Roman" w:cs="Times New Roman"/>
          <w:bCs/>
          <w:sz w:val="21"/>
          <w:szCs w:val="21"/>
        </w:rPr>
      </w:pPr>
      <w:r>
        <w:rPr>
          <w:rFonts w:ascii="Times New Roman" w:hAnsi="Times New Roman" w:cs="Times New Roman" w:hint="eastAsia"/>
          <w:bCs/>
          <w:sz w:val="21"/>
          <w:szCs w:val="21"/>
        </w:rPr>
        <w:t>上述投资比例由托管人根据管理人提供的数据进行监督，</w:t>
      </w:r>
      <w:r w:rsidRPr="00447910">
        <w:rPr>
          <w:rFonts w:ascii="Times New Roman" w:hAnsi="Times New Roman" w:cs="Times New Roman" w:hint="eastAsia"/>
          <w:bCs/>
          <w:sz w:val="21"/>
          <w:szCs w:val="21"/>
        </w:rPr>
        <w:t>管理人应每月定期提供数据给托管人，托管人仅根据管理人提供数据对于投资比例进行监督。因管理人未及时提供数据、提供数据错误导致托管人未能履行监督责任的，由此产生的责任由管理人</w:t>
      </w:r>
      <w:r>
        <w:rPr>
          <w:rFonts w:ascii="Times New Roman" w:hAnsi="Times New Roman" w:cs="Times New Roman" w:hint="eastAsia"/>
          <w:bCs/>
          <w:sz w:val="21"/>
          <w:szCs w:val="21"/>
        </w:rPr>
        <w:t>承担。</w:t>
      </w:r>
    </w:p>
    <w:p w:rsidR="00B43A95" w:rsidRDefault="00AB5A93">
      <w:pPr>
        <w:adjustRightInd w:val="0"/>
        <w:snapToGrid w:val="0"/>
        <w:spacing w:line="360" w:lineRule="auto"/>
        <w:ind w:firstLineChars="200" w:firstLine="420"/>
        <w:jc w:val="both"/>
        <w:rPr>
          <w:rFonts w:ascii="Times New Roman" w:hAnsi="Times New Roman" w:cs="Times New Roman"/>
          <w:bCs/>
          <w:sz w:val="21"/>
          <w:szCs w:val="21"/>
        </w:rPr>
      </w:pPr>
      <w:r>
        <w:rPr>
          <w:rFonts w:ascii="Times New Roman" w:hAnsi="Times New Roman" w:cs="Times New Roman" w:hint="eastAsia"/>
          <w:bCs/>
          <w:sz w:val="21"/>
          <w:szCs w:val="21"/>
        </w:rPr>
        <w:t>如法律法规或中国证监会变更上述投资品种的比例限制，以变更后的比例为准，基金管理人在履行适当程序后，对本基金的投资比例做出相应调整。</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（二）基金托管人根据有关法律法规的规定及《基金合同》的约定，对基金投资、融资比例进行监督。基金托管人按下述比例和调整期限进行监督：</w:t>
      </w:r>
    </w:p>
    <w:p w:rsidR="00B43A95" w:rsidRDefault="00AB5A93">
      <w:pPr>
        <w:adjustRightInd w:val="0"/>
        <w:snapToGrid w:val="0"/>
        <w:spacing w:line="360" w:lineRule="auto"/>
        <w:ind w:firstLineChars="200" w:firstLine="420"/>
        <w:jc w:val="both"/>
        <w:rPr>
          <w:rFonts w:ascii="Times New Roman" w:hAnsi="Times New Roman" w:cs="Times New Roman"/>
          <w:bCs/>
          <w:sz w:val="21"/>
          <w:szCs w:val="21"/>
        </w:rPr>
      </w:pPr>
      <w:r>
        <w:rPr>
          <w:rFonts w:ascii="Times New Roman" w:hAnsi="Times New Roman" w:cs="Times New Roman" w:hint="eastAsia"/>
          <w:bCs/>
          <w:sz w:val="21"/>
          <w:szCs w:val="21"/>
        </w:rPr>
        <w:t>1</w:t>
      </w:r>
      <w:r>
        <w:rPr>
          <w:rFonts w:ascii="Times New Roman" w:hAnsi="Times New Roman" w:cs="Times New Roman" w:hint="eastAsia"/>
          <w:bCs/>
          <w:sz w:val="21"/>
          <w:szCs w:val="21"/>
        </w:rPr>
        <w:t>、</w:t>
      </w:r>
      <w:r>
        <w:rPr>
          <w:rFonts w:ascii="Times New Roman" w:hAnsi="Times New Roman" w:cs="Times New Roman"/>
          <w:bCs/>
          <w:sz w:val="21"/>
          <w:szCs w:val="21"/>
        </w:rPr>
        <w:t>在建仓完成后，本基金投资于债券资产的比例不低于基金资产的</w:t>
      </w:r>
      <w:r>
        <w:rPr>
          <w:rFonts w:ascii="Times New Roman" w:hAnsi="Times New Roman" w:cs="Times New Roman"/>
          <w:bCs/>
          <w:sz w:val="21"/>
          <w:szCs w:val="21"/>
        </w:rPr>
        <w:t>80%</w:t>
      </w:r>
      <w:r>
        <w:rPr>
          <w:rFonts w:ascii="Times New Roman" w:hAnsi="Times New Roman" w:cs="Times New Roman"/>
          <w:bCs/>
          <w:sz w:val="21"/>
          <w:szCs w:val="21"/>
        </w:rPr>
        <w:t>，投资于标的指数成份券和备选成份券的比例不低于基金资产净值的</w:t>
      </w:r>
      <w:r>
        <w:rPr>
          <w:rFonts w:ascii="Times New Roman" w:hAnsi="Times New Roman" w:cs="Times New Roman"/>
          <w:bCs/>
          <w:sz w:val="21"/>
          <w:szCs w:val="21"/>
        </w:rPr>
        <w:t>90%</w:t>
      </w:r>
      <w:r>
        <w:rPr>
          <w:rFonts w:ascii="Times New Roman" w:hAnsi="Times New Roman" w:cs="Times New Roman"/>
          <w:bCs/>
          <w:sz w:val="21"/>
          <w:szCs w:val="21"/>
        </w:rPr>
        <w:t>，且不低于非现金基金资产的</w:t>
      </w:r>
      <w:r>
        <w:rPr>
          <w:rFonts w:ascii="Times New Roman" w:hAnsi="Times New Roman" w:cs="Times New Roman"/>
          <w:bCs/>
          <w:sz w:val="21"/>
          <w:szCs w:val="21"/>
        </w:rPr>
        <w:t>80%</w:t>
      </w:r>
      <w:r>
        <w:rPr>
          <w:rFonts w:ascii="Times New Roman" w:hAnsi="Times New Roman" w:cs="Times New Roman"/>
          <w:bCs/>
          <w:sz w:val="21"/>
          <w:szCs w:val="21"/>
        </w:rPr>
        <w:t>；</w:t>
      </w:r>
    </w:p>
    <w:p w:rsidR="00B43A95" w:rsidRDefault="00AB5A93">
      <w:pPr>
        <w:adjustRightInd w:val="0"/>
        <w:snapToGrid w:val="0"/>
        <w:spacing w:line="360" w:lineRule="auto"/>
        <w:ind w:firstLineChars="200" w:firstLine="420"/>
        <w:jc w:val="both"/>
        <w:rPr>
          <w:rFonts w:ascii="Times New Roman" w:hAnsi="Times New Roman" w:cs="Times New Roman"/>
          <w:bCs/>
          <w:sz w:val="21"/>
          <w:szCs w:val="21"/>
        </w:rPr>
      </w:pPr>
      <w:r>
        <w:rPr>
          <w:rFonts w:ascii="Times New Roman" w:hAnsi="Times New Roman" w:cs="Times New Roman" w:hint="eastAsia"/>
          <w:bCs/>
          <w:sz w:val="21"/>
          <w:szCs w:val="21"/>
        </w:rPr>
        <w:t>2</w:t>
      </w:r>
      <w:r>
        <w:rPr>
          <w:rFonts w:ascii="Times New Roman" w:hAnsi="Times New Roman" w:cs="Times New Roman" w:hint="eastAsia"/>
          <w:bCs/>
          <w:sz w:val="21"/>
          <w:szCs w:val="21"/>
        </w:rPr>
        <w:t>、</w:t>
      </w:r>
      <w:r>
        <w:rPr>
          <w:rFonts w:ascii="Times New Roman" w:hAnsi="Times New Roman" w:cs="Times New Roman"/>
          <w:bCs/>
          <w:sz w:val="21"/>
          <w:szCs w:val="21"/>
        </w:rPr>
        <w:t>每个交易日日终在扣除国债期货合约需缴纳的交易保证金后，应当保持不低于交易保证金一倍的现金，其中现金不包括结算备付金、存出保证金、应收申购款等；</w:t>
      </w:r>
    </w:p>
    <w:p w:rsidR="00B43A95" w:rsidRDefault="00AB5A93">
      <w:pPr>
        <w:adjustRightInd w:val="0"/>
        <w:snapToGrid w:val="0"/>
        <w:spacing w:line="360" w:lineRule="auto"/>
        <w:ind w:firstLineChars="200" w:firstLine="420"/>
        <w:jc w:val="both"/>
        <w:rPr>
          <w:rFonts w:ascii="Times New Roman" w:hAnsi="Times New Roman" w:cs="Times New Roman"/>
          <w:bCs/>
          <w:sz w:val="21"/>
          <w:szCs w:val="21"/>
        </w:rPr>
      </w:pPr>
      <w:r>
        <w:rPr>
          <w:rFonts w:ascii="Times New Roman" w:hAnsi="Times New Roman" w:cs="Times New Roman" w:hint="eastAsia"/>
          <w:bCs/>
          <w:sz w:val="21"/>
          <w:szCs w:val="21"/>
        </w:rPr>
        <w:t>3</w:t>
      </w:r>
      <w:r>
        <w:rPr>
          <w:rFonts w:ascii="Times New Roman" w:hAnsi="Times New Roman" w:cs="Times New Roman" w:hint="eastAsia"/>
          <w:bCs/>
          <w:sz w:val="21"/>
          <w:szCs w:val="21"/>
        </w:rPr>
        <w:t>、</w:t>
      </w:r>
      <w:r>
        <w:rPr>
          <w:rFonts w:ascii="Times New Roman" w:hAnsi="Times New Roman" w:cs="Times New Roman"/>
          <w:bCs/>
          <w:sz w:val="21"/>
          <w:szCs w:val="21"/>
        </w:rPr>
        <w:t>本基金持有一家公司发行的证券，其市值不超过基金资产净值的</w:t>
      </w:r>
      <w:r>
        <w:rPr>
          <w:rFonts w:ascii="Times New Roman" w:hAnsi="Times New Roman" w:cs="Times New Roman"/>
          <w:bCs/>
          <w:sz w:val="21"/>
          <w:szCs w:val="21"/>
        </w:rPr>
        <w:t>10%</w:t>
      </w:r>
      <w:r>
        <w:rPr>
          <w:rFonts w:ascii="Times New Roman" w:hAnsi="Times New Roman" w:cs="Times New Roman"/>
          <w:bCs/>
          <w:sz w:val="21"/>
          <w:szCs w:val="21"/>
        </w:rPr>
        <w:t>，但完全按照标的指数的构成比例进行投资的部分不受前述限制；</w:t>
      </w:r>
    </w:p>
    <w:p w:rsidR="00B43A95" w:rsidRPr="00CD082F" w:rsidRDefault="00033E40" w:rsidP="00CD082F">
      <w:pPr>
        <w:adjustRightInd w:val="0"/>
        <w:snapToGrid w:val="0"/>
        <w:spacing w:line="360" w:lineRule="auto"/>
        <w:ind w:firstLineChars="200" w:firstLine="420"/>
        <w:jc w:val="both"/>
        <w:rPr>
          <w:rFonts w:ascii="Times New Roman" w:hAnsi="Times New Roman" w:cs="Times New Roman"/>
          <w:bCs/>
          <w:sz w:val="21"/>
          <w:szCs w:val="21"/>
        </w:rPr>
      </w:pPr>
      <w:r w:rsidRPr="00CD082F">
        <w:rPr>
          <w:rFonts w:ascii="Times New Roman" w:hAnsi="Times New Roman" w:cs="Times New Roman"/>
          <w:bCs/>
          <w:sz w:val="21"/>
          <w:szCs w:val="21"/>
        </w:rPr>
        <w:t>4</w:t>
      </w:r>
      <w:r w:rsidRPr="00CD082F">
        <w:rPr>
          <w:rFonts w:ascii="Times New Roman" w:hAnsi="Times New Roman" w:cs="Times New Roman" w:hint="eastAsia"/>
          <w:bCs/>
          <w:sz w:val="21"/>
          <w:szCs w:val="21"/>
        </w:rPr>
        <w:t>、</w:t>
      </w:r>
      <w:r w:rsidR="00AB5A93" w:rsidRPr="00CD082F">
        <w:rPr>
          <w:rFonts w:ascii="Times New Roman" w:hAnsi="Times New Roman" w:cs="Times New Roman" w:hint="eastAsia"/>
          <w:bCs/>
          <w:sz w:val="21"/>
          <w:szCs w:val="21"/>
        </w:rPr>
        <w:t>本基金管理人管理的全部基金持有一家公司发行的证券，不超过该证券的</w:t>
      </w:r>
      <w:r w:rsidR="00AB5A93" w:rsidRPr="00CD082F">
        <w:rPr>
          <w:rFonts w:ascii="Times New Roman" w:hAnsi="Times New Roman" w:cs="Times New Roman"/>
          <w:bCs/>
          <w:sz w:val="21"/>
          <w:szCs w:val="21"/>
        </w:rPr>
        <w:t>10%</w:t>
      </w:r>
      <w:r w:rsidR="00AB5A93" w:rsidRPr="00CD082F">
        <w:rPr>
          <w:rFonts w:ascii="Times New Roman" w:hAnsi="Times New Roman" w:cs="Times New Roman" w:hint="eastAsia"/>
          <w:bCs/>
          <w:sz w:val="21"/>
          <w:szCs w:val="21"/>
        </w:rPr>
        <w:t>，但完全按照标的指数的构成比例进行投资的部分不受前述限制；</w:t>
      </w:r>
    </w:p>
    <w:p w:rsidR="00B43A95" w:rsidRDefault="00AB5A93">
      <w:pPr>
        <w:adjustRightInd w:val="0"/>
        <w:snapToGrid w:val="0"/>
        <w:spacing w:line="360" w:lineRule="auto"/>
        <w:ind w:firstLineChars="200" w:firstLine="420"/>
        <w:jc w:val="both"/>
        <w:rPr>
          <w:rFonts w:ascii="Times New Roman" w:hAnsi="Times New Roman" w:cs="Times New Roman"/>
          <w:bCs/>
          <w:sz w:val="21"/>
          <w:szCs w:val="21"/>
        </w:rPr>
      </w:pPr>
      <w:r>
        <w:rPr>
          <w:rFonts w:ascii="Times New Roman" w:hAnsi="Times New Roman" w:cs="Times New Roman" w:hint="eastAsia"/>
          <w:bCs/>
          <w:sz w:val="21"/>
          <w:szCs w:val="21"/>
        </w:rPr>
        <w:t>5</w:t>
      </w:r>
      <w:r>
        <w:rPr>
          <w:rFonts w:ascii="Times New Roman" w:hAnsi="Times New Roman" w:cs="Times New Roman" w:hint="eastAsia"/>
          <w:bCs/>
          <w:sz w:val="21"/>
          <w:szCs w:val="21"/>
        </w:rPr>
        <w:t>、</w:t>
      </w:r>
      <w:r>
        <w:rPr>
          <w:rFonts w:ascii="Times New Roman" w:hAnsi="Times New Roman" w:cs="Times New Roman"/>
          <w:bCs/>
          <w:sz w:val="21"/>
          <w:szCs w:val="21"/>
        </w:rPr>
        <w:t>基金总资产不得超过基金净资产的</w:t>
      </w:r>
      <w:r>
        <w:rPr>
          <w:rFonts w:ascii="Times New Roman" w:hAnsi="Times New Roman" w:cs="Times New Roman"/>
          <w:bCs/>
          <w:sz w:val="21"/>
          <w:szCs w:val="21"/>
        </w:rPr>
        <w:t>140%</w:t>
      </w:r>
      <w:r>
        <w:rPr>
          <w:rFonts w:ascii="Times New Roman" w:hAnsi="Times New Roman" w:cs="Times New Roman"/>
          <w:bCs/>
          <w:sz w:val="21"/>
          <w:szCs w:val="21"/>
        </w:rPr>
        <w:t>；</w:t>
      </w:r>
    </w:p>
    <w:p w:rsidR="00B43A95" w:rsidRDefault="00AB5A93">
      <w:pPr>
        <w:adjustRightInd w:val="0"/>
        <w:snapToGrid w:val="0"/>
        <w:spacing w:line="360" w:lineRule="auto"/>
        <w:ind w:firstLineChars="200" w:firstLine="420"/>
        <w:jc w:val="both"/>
        <w:rPr>
          <w:rFonts w:ascii="Times New Roman" w:hAnsi="Times New Roman" w:cs="Times New Roman"/>
          <w:bCs/>
          <w:sz w:val="21"/>
          <w:szCs w:val="21"/>
        </w:rPr>
      </w:pPr>
      <w:r>
        <w:rPr>
          <w:rFonts w:ascii="Times New Roman" w:hAnsi="Times New Roman" w:cs="Times New Roman" w:hint="eastAsia"/>
          <w:bCs/>
          <w:sz w:val="21"/>
          <w:szCs w:val="21"/>
        </w:rPr>
        <w:t>6</w:t>
      </w:r>
      <w:r>
        <w:rPr>
          <w:rFonts w:ascii="Times New Roman" w:hAnsi="Times New Roman" w:cs="Times New Roman" w:hint="eastAsia"/>
          <w:bCs/>
          <w:sz w:val="21"/>
          <w:szCs w:val="21"/>
        </w:rPr>
        <w:t>、</w:t>
      </w:r>
      <w:r>
        <w:rPr>
          <w:rFonts w:ascii="Times New Roman" w:hAnsi="Times New Roman" w:cs="Times New Roman"/>
          <w:bCs/>
          <w:sz w:val="21"/>
          <w:szCs w:val="21"/>
        </w:rPr>
        <w:t>本基金与私募类证券资管产品及中国证监会认定的其他主体为交易对手开展逆回购交易的，可接受质押品的资质要求应当与基金合同约定的投资范围保持一致；</w:t>
      </w:r>
    </w:p>
    <w:p w:rsidR="00B43A95" w:rsidRDefault="00AB5A93">
      <w:pPr>
        <w:adjustRightInd w:val="0"/>
        <w:snapToGrid w:val="0"/>
        <w:spacing w:line="360" w:lineRule="auto"/>
        <w:ind w:firstLineChars="200" w:firstLine="420"/>
        <w:jc w:val="both"/>
        <w:rPr>
          <w:rFonts w:ascii="Times New Roman" w:hAnsi="Times New Roman" w:cs="Times New Roman"/>
          <w:bCs/>
          <w:sz w:val="21"/>
          <w:szCs w:val="21"/>
        </w:rPr>
      </w:pPr>
      <w:r>
        <w:rPr>
          <w:rFonts w:ascii="Times New Roman" w:hAnsi="Times New Roman" w:cs="Times New Roman" w:hint="eastAsia"/>
          <w:bCs/>
          <w:sz w:val="21"/>
          <w:szCs w:val="21"/>
        </w:rPr>
        <w:t>7</w:t>
      </w:r>
      <w:r>
        <w:rPr>
          <w:rFonts w:ascii="Times New Roman" w:hAnsi="Times New Roman" w:cs="Times New Roman" w:hint="eastAsia"/>
          <w:bCs/>
          <w:sz w:val="21"/>
          <w:szCs w:val="21"/>
        </w:rPr>
        <w:t>、</w:t>
      </w:r>
      <w:r>
        <w:rPr>
          <w:rFonts w:ascii="Times New Roman" w:hAnsi="Times New Roman" w:cs="Times New Roman"/>
          <w:bCs/>
          <w:sz w:val="21"/>
          <w:szCs w:val="21"/>
        </w:rPr>
        <w:t>本基金若参与国债期货交易，应当符合下列投资限制：</w:t>
      </w:r>
    </w:p>
    <w:p w:rsidR="00B43A95" w:rsidRDefault="00AB5A93">
      <w:pPr>
        <w:adjustRightInd w:val="0"/>
        <w:snapToGrid w:val="0"/>
        <w:spacing w:line="360" w:lineRule="auto"/>
        <w:ind w:firstLineChars="200" w:firstLine="420"/>
        <w:jc w:val="both"/>
        <w:rPr>
          <w:rFonts w:ascii="Times New Roman" w:hAnsi="Times New Roman" w:cs="Times New Roman"/>
          <w:bCs/>
          <w:sz w:val="21"/>
          <w:szCs w:val="21"/>
        </w:rPr>
      </w:pPr>
      <w:r>
        <w:rPr>
          <w:rFonts w:ascii="Times New Roman" w:hAnsi="Times New Roman" w:cs="Times New Roman" w:hint="eastAsia"/>
          <w:bCs/>
          <w:sz w:val="21"/>
          <w:szCs w:val="21"/>
        </w:rPr>
        <w:t>在任何交易日日终，持有的买入国债期货合约价值，不得超过基金资产净值的</w:t>
      </w:r>
      <w:r>
        <w:rPr>
          <w:rFonts w:ascii="Times New Roman" w:hAnsi="Times New Roman" w:cs="Times New Roman"/>
          <w:bCs/>
          <w:sz w:val="21"/>
          <w:szCs w:val="21"/>
        </w:rPr>
        <w:t>15%</w:t>
      </w:r>
      <w:r>
        <w:rPr>
          <w:rFonts w:ascii="Times New Roman" w:hAnsi="Times New Roman" w:cs="Times New Roman"/>
          <w:bCs/>
          <w:sz w:val="21"/>
          <w:szCs w:val="21"/>
        </w:rPr>
        <w:t>；在任何交易日日终，持有的卖出国债期货合约价值不得超过基金持有的债券总市值的</w:t>
      </w:r>
      <w:r>
        <w:rPr>
          <w:rFonts w:ascii="Times New Roman" w:hAnsi="Times New Roman" w:cs="Times New Roman"/>
          <w:bCs/>
          <w:sz w:val="21"/>
          <w:szCs w:val="21"/>
        </w:rPr>
        <w:t>30%</w:t>
      </w:r>
      <w:r>
        <w:rPr>
          <w:rFonts w:ascii="Times New Roman" w:hAnsi="Times New Roman" w:cs="Times New Roman"/>
          <w:bCs/>
          <w:sz w:val="21"/>
          <w:szCs w:val="21"/>
        </w:rPr>
        <w:t>；本基金</w:t>
      </w:r>
      <w:r>
        <w:rPr>
          <w:rFonts w:ascii="Times New Roman" w:hAnsi="Times New Roman" w:cs="Times New Roman"/>
          <w:bCs/>
          <w:sz w:val="21"/>
          <w:szCs w:val="21"/>
        </w:rPr>
        <w:lastRenderedPageBreak/>
        <w:t>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Pr>
          <w:rFonts w:ascii="Times New Roman" w:hAnsi="Times New Roman" w:cs="Times New Roman"/>
          <w:bCs/>
          <w:sz w:val="21"/>
          <w:szCs w:val="21"/>
        </w:rPr>
        <w:t>30%</w:t>
      </w:r>
      <w:r>
        <w:rPr>
          <w:rFonts w:ascii="Times New Roman" w:hAnsi="Times New Roman" w:cs="Times New Roman"/>
          <w:bCs/>
          <w:sz w:val="21"/>
          <w:szCs w:val="21"/>
        </w:rPr>
        <w:t>；</w:t>
      </w:r>
    </w:p>
    <w:p w:rsidR="00B43A95" w:rsidRDefault="00AB5A93">
      <w:pPr>
        <w:adjustRightInd w:val="0"/>
        <w:snapToGrid w:val="0"/>
        <w:spacing w:line="360" w:lineRule="auto"/>
        <w:ind w:firstLineChars="200" w:firstLine="420"/>
        <w:jc w:val="both"/>
        <w:rPr>
          <w:rFonts w:ascii="Times New Roman" w:hAnsi="Times New Roman" w:cs="Times New Roman"/>
          <w:bCs/>
          <w:sz w:val="21"/>
          <w:szCs w:val="21"/>
        </w:rPr>
      </w:pPr>
      <w:r>
        <w:rPr>
          <w:rFonts w:ascii="Times New Roman" w:hAnsi="Times New Roman" w:cs="Times New Roman" w:hint="eastAsia"/>
          <w:bCs/>
          <w:sz w:val="21"/>
          <w:szCs w:val="21"/>
        </w:rPr>
        <w:t>8</w:t>
      </w:r>
      <w:r>
        <w:rPr>
          <w:rFonts w:ascii="Times New Roman" w:hAnsi="Times New Roman" w:cs="Times New Roman" w:hint="eastAsia"/>
          <w:bCs/>
          <w:sz w:val="21"/>
          <w:szCs w:val="21"/>
        </w:rPr>
        <w:t>、</w:t>
      </w:r>
      <w:r>
        <w:rPr>
          <w:rFonts w:ascii="Times New Roman" w:hAnsi="Times New Roman" w:cs="Times New Roman"/>
          <w:bCs/>
          <w:sz w:val="21"/>
          <w:szCs w:val="21"/>
        </w:rPr>
        <w:t>本基金主动投资于流动性受限资产的市值合计不得超过基金资产净值的</w:t>
      </w:r>
      <w:r>
        <w:rPr>
          <w:rFonts w:ascii="Times New Roman" w:hAnsi="Times New Roman" w:cs="Times New Roman"/>
          <w:bCs/>
          <w:sz w:val="21"/>
          <w:szCs w:val="21"/>
        </w:rPr>
        <w:t>15%</w:t>
      </w:r>
      <w:r>
        <w:rPr>
          <w:rFonts w:ascii="Times New Roman" w:hAnsi="Times New Roman" w:cs="Times New Roman"/>
          <w:bCs/>
          <w:sz w:val="21"/>
          <w:szCs w:val="21"/>
        </w:rPr>
        <w:t>，因证券市场波动、基金规模变动等基金管理人之外的因素致使基金不符合该比例限制的，基金管理人不得主动新增流动性受限资产的投资；</w:t>
      </w:r>
    </w:p>
    <w:p w:rsidR="00B43A95" w:rsidRDefault="00AB5A93">
      <w:pPr>
        <w:adjustRightInd w:val="0"/>
        <w:snapToGrid w:val="0"/>
        <w:spacing w:line="360" w:lineRule="auto"/>
        <w:ind w:firstLineChars="200" w:firstLine="420"/>
        <w:jc w:val="both"/>
        <w:rPr>
          <w:rFonts w:ascii="Times New Roman" w:hAnsi="Times New Roman" w:cs="Times New Roman"/>
          <w:bCs/>
          <w:sz w:val="21"/>
          <w:szCs w:val="21"/>
        </w:rPr>
      </w:pPr>
      <w:r>
        <w:rPr>
          <w:rFonts w:ascii="Times New Roman" w:hAnsi="Times New Roman" w:cs="Times New Roman" w:hint="eastAsia"/>
          <w:bCs/>
          <w:sz w:val="21"/>
          <w:szCs w:val="21"/>
          <w:lang w:val="en-US"/>
        </w:rPr>
        <w:t>9</w:t>
      </w:r>
      <w:r>
        <w:rPr>
          <w:rFonts w:ascii="Times New Roman" w:hAnsi="Times New Roman" w:cs="Times New Roman" w:hint="eastAsia"/>
          <w:bCs/>
          <w:sz w:val="21"/>
          <w:szCs w:val="21"/>
        </w:rPr>
        <w:t>、</w:t>
      </w:r>
      <w:r>
        <w:rPr>
          <w:rFonts w:ascii="Times New Roman" w:hAnsi="Times New Roman" w:cs="Times New Roman"/>
          <w:bCs/>
          <w:sz w:val="21"/>
          <w:szCs w:val="21"/>
        </w:rPr>
        <w:t>法律法规及中国证监会规定的和《基金合同》约定的其他投资限制。</w:t>
      </w:r>
    </w:p>
    <w:p w:rsidR="00B43A95" w:rsidRDefault="00AB5A93">
      <w:pPr>
        <w:adjustRightInd w:val="0"/>
        <w:snapToGrid w:val="0"/>
        <w:spacing w:line="360" w:lineRule="auto"/>
        <w:ind w:firstLineChars="200" w:firstLine="420"/>
        <w:jc w:val="both"/>
        <w:rPr>
          <w:rFonts w:ascii="Times New Roman" w:hAnsi="Times New Roman" w:cs="Times New Roman"/>
          <w:bCs/>
          <w:sz w:val="21"/>
          <w:szCs w:val="21"/>
        </w:rPr>
      </w:pPr>
      <w:r>
        <w:rPr>
          <w:rFonts w:ascii="Times New Roman" w:hAnsi="Times New Roman" w:cs="Times New Roman" w:hint="eastAsia"/>
          <w:bCs/>
          <w:sz w:val="21"/>
          <w:szCs w:val="21"/>
        </w:rPr>
        <w:t>除第</w:t>
      </w:r>
      <w:r>
        <w:rPr>
          <w:rFonts w:ascii="Times New Roman" w:hAnsi="Times New Roman" w:cs="Times New Roman" w:hint="eastAsia"/>
          <w:bCs/>
          <w:sz w:val="21"/>
          <w:szCs w:val="21"/>
        </w:rPr>
        <w:t>2</w:t>
      </w:r>
      <w:r>
        <w:rPr>
          <w:rFonts w:ascii="Times New Roman" w:hAnsi="Times New Roman" w:cs="Times New Roman"/>
          <w:bCs/>
          <w:sz w:val="21"/>
          <w:szCs w:val="21"/>
        </w:rPr>
        <w:t>、</w:t>
      </w:r>
      <w:r>
        <w:rPr>
          <w:rFonts w:ascii="Times New Roman" w:hAnsi="Times New Roman" w:cs="Times New Roman" w:hint="eastAsia"/>
          <w:bCs/>
          <w:sz w:val="21"/>
          <w:szCs w:val="21"/>
        </w:rPr>
        <w:t>6</w:t>
      </w:r>
      <w:r>
        <w:rPr>
          <w:rFonts w:ascii="Times New Roman" w:hAnsi="Times New Roman" w:cs="Times New Roman"/>
          <w:bCs/>
          <w:sz w:val="21"/>
          <w:szCs w:val="21"/>
        </w:rPr>
        <w:t>、</w:t>
      </w:r>
      <w:r>
        <w:rPr>
          <w:rFonts w:ascii="Times New Roman" w:hAnsi="Times New Roman" w:cs="Times New Roman" w:hint="eastAsia"/>
          <w:bCs/>
          <w:sz w:val="21"/>
          <w:szCs w:val="21"/>
        </w:rPr>
        <w:t>8</w:t>
      </w:r>
      <w:r>
        <w:rPr>
          <w:rFonts w:ascii="Times New Roman" w:hAnsi="Times New Roman" w:cs="Times New Roman"/>
          <w:bCs/>
          <w:sz w:val="21"/>
          <w:szCs w:val="21"/>
        </w:rPr>
        <w:t>项规定的情形外，因证券或期货市场波动、上市公司合并、基金规模变动、标的指数成份券调整、标的指数成份券流动性限制等基金管理人之外的因素致使基金投资比例不符合上述规定投资比例的，基金管理人应当在</w:t>
      </w:r>
      <w:r>
        <w:rPr>
          <w:rFonts w:ascii="Times New Roman" w:hAnsi="Times New Roman" w:cs="Times New Roman"/>
          <w:bCs/>
          <w:sz w:val="21"/>
          <w:szCs w:val="21"/>
        </w:rPr>
        <w:t>10</w:t>
      </w:r>
      <w:r>
        <w:rPr>
          <w:rFonts w:ascii="Times New Roman" w:hAnsi="Times New Roman" w:cs="Times New Roman"/>
          <w:bCs/>
          <w:sz w:val="21"/>
          <w:szCs w:val="21"/>
        </w:rPr>
        <w:t>个交易日内进行调整。</w:t>
      </w:r>
    </w:p>
    <w:p w:rsidR="00B43A95" w:rsidRDefault="00AB5A93">
      <w:pPr>
        <w:adjustRightInd w:val="0"/>
        <w:snapToGrid w:val="0"/>
        <w:spacing w:line="360" w:lineRule="auto"/>
        <w:ind w:firstLineChars="200" w:firstLine="420"/>
        <w:jc w:val="both"/>
        <w:rPr>
          <w:rFonts w:ascii="Times New Roman" w:hAnsi="Times New Roman" w:cs="Times New Roman"/>
          <w:bCs/>
          <w:sz w:val="21"/>
          <w:szCs w:val="21"/>
        </w:rPr>
      </w:pPr>
      <w:r>
        <w:rPr>
          <w:rFonts w:ascii="Times New Roman" w:hAnsi="Times New Roman" w:cs="Times New Roman" w:hint="eastAsia"/>
          <w:bCs/>
          <w:sz w:val="21"/>
          <w:szCs w:val="21"/>
        </w:rPr>
        <w:t>基金管理人应当自基金合同生效之日起</w:t>
      </w:r>
      <w:r>
        <w:rPr>
          <w:rFonts w:ascii="Times New Roman" w:hAnsi="Times New Roman" w:cs="Times New Roman"/>
          <w:bCs/>
          <w:sz w:val="21"/>
          <w:szCs w:val="21"/>
        </w:rPr>
        <w:t>6</w:t>
      </w:r>
      <w:r>
        <w:rPr>
          <w:rFonts w:ascii="Times New Roman" w:hAnsi="Times New Roman" w:cs="Times New Roman" w:hint="eastAsia"/>
          <w:bCs/>
          <w:sz w:val="21"/>
          <w:szCs w:val="21"/>
        </w:rPr>
        <w:t>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rsidR="00B43A95" w:rsidRDefault="00AB5A93">
      <w:pPr>
        <w:adjustRightInd w:val="0"/>
        <w:snapToGrid w:val="0"/>
        <w:spacing w:line="360" w:lineRule="auto"/>
        <w:ind w:firstLineChars="200" w:firstLine="420"/>
        <w:jc w:val="both"/>
        <w:rPr>
          <w:rFonts w:ascii="Times New Roman" w:hAnsi="Times New Roman" w:cs="Times New Roman"/>
          <w:bCs/>
          <w:sz w:val="21"/>
          <w:szCs w:val="21"/>
        </w:rPr>
      </w:pPr>
      <w:r>
        <w:rPr>
          <w:rFonts w:ascii="Times New Roman" w:hAnsi="Times New Roman" w:cs="Times New Roman" w:hint="eastAsia"/>
          <w:bCs/>
          <w:sz w:val="21"/>
          <w:szCs w:val="21"/>
        </w:rPr>
        <w:t>法律法规或监管部门取消或变更上述限制，如适用于本基金，基金管理人在履行适当程序后，则本基金投资不再受相关限制或以变更后的规定为准，自动遵守届时有效的法律法规或监管规定。</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（三）基金托管人根据有关法律法规的规定及《基金合同》的约定，对本基金投资关联交易行为进行监督。</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基金管理人和基金托管人应在基金投资运作之前互相提供双方关联方名单和关联交易证券名单。如一方关联方名单和关联交易证券名单发生变化的，及时将变化情况以书面形式通知另一方。</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并约定各交易对手所适用的交易结算方式。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Pr>
          <w:rFonts w:ascii="Times New Roman" w:hAnsi="Times New Roman" w:cs="Times New Roman"/>
          <w:spacing w:val="-4"/>
          <w:sz w:val="21"/>
          <w:szCs w:val="21"/>
        </w:rPr>
        <w:t>3</w:t>
      </w:r>
      <w:r>
        <w:rPr>
          <w:rFonts w:ascii="Times New Roman" w:hAnsi="Times New Roman" w:cs="Times New Roman" w:hint="eastAsia"/>
          <w:spacing w:val="-4"/>
          <w:sz w:val="21"/>
          <w:szCs w:val="21"/>
        </w:rPr>
        <w:t>个工作日内与基金</w:t>
      </w:r>
      <w:r>
        <w:rPr>
          <w:rFonts w:ascii="Times New Roman" w:hAnsi="Times New Roman" w:cs="Times New Roman" w:hint="eastAsia"/>
          <w:spacing w:val="-4"/>
          <w:sz w:val="21"/>
          <w:szCs w:val="21"/>
        </w:rPr>
        <w:lastRenderedPageBreak/>
        <w:t>托管人协商解决。基金管理人收到基金托管人书面确认后，被确认调整的名单开始生效，新名单生效前已与本次剔除的交易对手所进行但尚未结算的交易，仍应按照协议进行结算。基金管理人负责对交易对手的资信控制，按银行间债券市场的交易规则进行交易，并负责处理因交易对手不履行合同而造成的纠纷及损失，基金托管人不承担由此造成的任何法律责任及损失。若未履约的交易对手在基金托管人与基金管理人确定的时间前仍未承担违约责任及其他相关法律责任的，基金管理人应当向相关交易对手追偿。基金托管人则根据银行间债券市场成交单对合同履行情况进行监督，但不承担交易对手不履行合同造成的损失。如基金托管人事后发现基金管理人没有按照事先约定的交易对手或交易方式进行交易时，基金托管人应及时提醒基金管理人，基金托管人不承担由此造成的任何损失和责任。如基金管理人未提供名单，视为可与全市场交易对手进行交易。</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（五）基金托管人根据有关法律法规的规定及《基金合同》的约定，对基金管理人投资银行存款进行监督。</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基金投资银行存款的，基金管理人应根据法律法规的规定及《基金合同》的约定，建立投资制度、审慎选择存款银行，做好风险控制；并按照基金托管人的要求配合基金托管人完成相关业务办理。</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如果基金管理人未经基金托管人的审核擅自将不实的业绩表现数据印制在宣传推介材料上，则基金托管人对此不承担任何责任，并将在发现后立即报告中国证监会。</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七）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合理疑义进行解释或举证，说明违规原因及纠正期限，并保证在规定期限内及时改正。在上述规定期限内</w:t>
      </w:r>
      <w:r>
        <w:rPr>
          <w:rFonts w:ascii="Times New Roman" w:hAnsi="Times New Roman" w:cs="Times New Roman"/>
          <w:spacing w:val="-4"/>
          <w:sz w:val="21"/>
          <w:szCs w:val="21"/>
        </w:rPr>
        <w:t>，</w:t>
      </w:r>
      <w:r>
        <w:rPr>
          <w:rFonts w:ascii="Times New Roman" w:hAnsi="Times New Roman" w:cs="Times New Roman" w:hint="eastAsia"/>
          <w:spacing w:val="-4"/>
          <w:sz w:val="21"/>
          <w:szCs w:val="21"/>
        </w:rPr>
        <w:t>基金托管人有权随时对通知事项进行复查</w:t>
      </w:r>
      <w:r>
        <w:rPr>
          <w:rFonts w:ascii="Times New Roman" w:hAnsi="Times New Roman" w:cs="Times New Roman"/>
          <w:spacing w:val="-4"/>
          <w:sz w:val="21"/>
          <w:szCs w:val="21"/>
        </w:rPr>
        <w:t>，</w:t>
      </w:r>
      <w:r>
        <w:rPr>
          <w:rFonts w:ascii="Times New Roman" w:hAnsi="Times New Roman" w:cs="Times New Roman" w:hint="eastAsia"/>
          <w:spacing w:val="-4"/>
          <w:sz w:val="21"/>
          <w:szCs w:val="21"/>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八）基金管理人有义务配合和协助基金托管人依照法律法规、《基金合同》和本托管协议对基金业务执行核查。对基金托管人发出的书面提示，基金管理人应在规定时间内答复并改正，或就基金托管人的合理疑义进行解释或举证；对基金托管人按照法规要求需向中国证监会报送基</w:t>
      </w:r>
      <w:r>
        <w:rPr>
          <w:rFonts w:ascii="Times New Roman" w:hAnsi="Times New Roman" w:cs="Times New Roman" w:hint="eastAsia"/>
          <w:spacing w:val="-4"/>
          <w:sz w:val="21"/>
          <w:szCs w:val="21"/>
        </w:rPr>
        <w:lastRenderedPageBreak/>
        <w:t>金监督报告的事项，基金管理人应积极配合提供相关数据资料和制度等。</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九）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B43A95" w:rsidRDefault="00AB5A93">
      <w:pPr>
        <w:pStyle w:val="1"/>
        <w:spacing w:before="100" w:beforeAutospacing="1" w:after="100" w:afterAutospacing="1"/>
        <w:ind w:left="0"/>
        <w:jc w:val="center"/>
        <w:rPr>
          <w:rFonts w:ascii="Times New Roman" w:eastAsia="宋体" w:hAnsi="Times New Roman" w:cs="Times New Roman"/>
          <w:bCs w:val="0"/>
          <w:color w:val="000000" w:themeColor="text1"/>
          <w:kern w:val="2"/>
          <w:sz w:val="21"/>
          <w:szCs w:val="21"/>
          <w:lang w:val="en-US" w:bidi="ar-SA"/>
        </w:rPr>
      </w:pPr>
      <w:bookmarkStart w:id="4" w:name="_Toc516502489"/>
      <w:r>
        <w:rPr>
          <w:rFonts w:ascii="Times New Roman" w:eastAsia="宋体" w:hAnsi="Times New Roman" w:cs="Times New Roman" w:hint="eastAsia"/>
          <w:bCs w:val="0"/>
          <w:color w:val="000000" w:themeColor="text1"/>
          <w:kern w:val="2"/>
          <w:sz w:val="21"/>
          <w:szCs w:val="21"/>
          <w:lang w:val="en-US" w:bidi="ar-SA"/>
        </w:rPr>
        <w:t>四、基金管理人对基金托管人的业务核查</w:t>
      </w:r>
      <w:bookmarkEnd w:id="4"/>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一）基金管理人对基金托管人履行托管职责情况进行核查，核查事项包括基金托管人安全保管基金财产、开设基金财产的托管账户和证券账户等投资所需账户、复核基金管理人计算的基金资产净值和基金份额净值、根据基金管理人指令办理清算交收、相关信息披露和监督基金投资运作等行为。</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w:t>
      </w:r>
      <w:r>
        <w:rPr>
          <w:rFonts w:ascii="Times New Roman" w:hAnsi="Times New Roman" w:cs="Times New Roman"/>
          <w:spacing w:val="-4"/>
          <w:sz w:val="21"/>
          <w:szCs w:val="21"/>
        </w:rPr>
        <w:t>，</w:t>
      </w:r>
      <w:r>
        <w:rPr>
          <w:rFonts w:ascii="Times New Roman" w:hAnsi="Times New Roman" w:cs="Times New Roman" w:hint="eastAsia"/>
          <w:spacing w:val="-4"/>
          <w:sz w:val="21"/>
          <w:szCs w:val="21"/>
        </w:rPr>
        <w:t>督促基金托管人改正。基金托管人应积极配合基金管理人的核查行为，包括但不限于：提交相关资料以供基金管理人核查托管财产的完整性和真实性，在规定时间内答复基金管理人并改正。</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B43A95" w:rsidRDefault="00AB5A93">
      <w:pPr>
        <w:pStyle w:val="1"/>
        <w:spacing w:before="100" w:beforeAutospacing="1" w:after="100" w:afterAutospacing="1"/>
        <w:ind w:left="0"/>
        <w:jc w:val="center"/>
        <w:rPr>
          <w:rFonts w:ascii="Times New Roman" w:eastAsia="宋体" w:hAnsi="Times New Roman" w:cs="Times New Roman"/>
          <w:bCs w:val="0"/>
          <w:color w:val="000000" w:themeColor="text1"/>
          <w:kern w:val="2"/>
          <w:sz w:val="21"/>
          <w:szCs w:val="21"/>
          <w:lang w:val="en-US" w:bidi="ar-SA"/>
        </w:rPr>
      </w:pPr>
      <w:bookmarkStart w:id="5" w:name="_Toc516502490"/>
      <w:r>
        <w:rPr>
          <w:rFonts w:ascii="Times New Roman" w:eastAsia="宋体" w:hAnsi="Times New Roman" w:cs="Times New Roman" w:hint="eastAsia"/>
          <w:bCs w:val="0"/>
          <w:color w:val="000000" w:themeColor="text1"/>
          <w:kern w:val="2"/>
          <w:sz w:val="21"/>
          <w:szCs w:val="21"/>
          <w:lang w:val="en-US" w:bidi="ar-SA"/>
        </w:rPr>
        <w:t>五、基金财产的保管</w:t>
      </w:r>
      <w:bookmarkEnd w:id="5"/>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（一）基金财产保管的原则</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1</w:t>
      </w:r>
      <w:r>
        <w:rPr>
          <w:rFonts w:ascii="Times New Roman" w:hAnsi="Times New Roman" w:cs="Times New Roman" w:hint="eastAsia"/>
          <w:spacing w:val="-4"/>
          <w:sz w:val="21"/>
          <w:szCs w:val="21"/>
        </w:rPr>
        <w:t>、基金财产应独立于基金管理人、基金托管人的固有财产。</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2</w:t>
      </w:r>
      <w:r>
        <w:rPr>
          <w:rFonts w:ascii="Times New Roman" w:hAnsi="Times New Roman" w:cs="Times New Roman" w:hint="eastAsia"/>
          <w:spacing w:val="-4"/>
          <w:sz w:val="21"/>
          <w:szCs w:val="21"/>
        </w:rPr>
        <w:t>、基金托管人应安全保管基金财产。未经基金管理人依据合法程序作出的合法合规指令，基金托管人不得自行运用、处分、分配基金的任何财产。</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3</w:t>
      </w:r>
      <w:r>
        <w:rPr>
          <w:rFonts w:ascii="Times New Roman" w:hAnsi="Times New Roman" w:cs="Times New Roman" w:hint="eastAsia"/>
          <w:spacing w:val="-4"/>
          <w:sz w:val="21"/>
          <w:szCs w:val="21"/>
        </w:rPr>
        <w:t>、基金托管人按照规定开设基金财产的托管账户和证券账户等投资所需账户。</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4</w:t>
      </w:r>
      <w:r>
        <w:rPr>
          <w:rFonts w:ascii="Times New Roman" w:hAnsi="Times New Roman" w:cs="Times New Roman" w:hint="eastAsia"/>
          <w:spacing w:val="-4"/>
          <w:sz w:val="21"/>
          <w:szCs w:val="21"/>
        </w:rPr>
        <w:t>、基金托管人对所托管的不同基金财产分别设置账户，分账管理，独立核算，确保基金财产的完整与独立。</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lastRenderedPageBreak/>
        <w:t>5</w:t>
      </w:r>
      <w:r>
        <w:rPr>
          <w:rFonts w:ascii="Times New Roman" w:hAnsi="Times New Roman" w:cs="Times New Roman" w:hint="eastAsia"/>
          <w:spacing w:val="-4"/>
          <w:sz w:val="21"/>
          <w:szCs w:val="21"/>
        </w:rPr>
        <w:t>、基金托管人根据基金管理人的指令，按照《基金合同》和本协议的约定保管基金财产，如有特殊情况双方可另行协商解决。</w:t>
      </w:r>
      <w:r>
        <w:rPr>
          <w:rFonts w:ascii="Times New Roman" w:hAnsi="Times New Roman" w:cs="Times New Roman"/>
          <w:spacing w:val="-4"/>
          <w:sz w:val="21"/>
          <w:szCs w:val="21"/>
          <w:lang w:val="en-US"/>
        </w:rPr>
        <w:t>基金托管人未经基金管理人的</w:t>
      </w:r>
      <w:r>
        <w:rPr>
          <w:rFonts w:ascii="Times New Roman" w:hAnsi="Times New Roman" w:cs="Times New Roman" w:hint="eastAsia"/>
          <w:spacing w:val="-4"/>
          <w:sz w:val="21"/>
          <w:szCs w:val="21"/>
          <w:lang w:val="en-US"/>
        </w:rPr>
        <w:t>合法合规</w:t>
      </w:r>
      <w:r>
        <w:rPr>
          <w:rFonts w:ascii="Times New Roman" w:hAnsi="Times New Roman" w:cs="Times New Roman"/>
          <w:spacing w:val="-4"/>
          <w:sz w:val="21"/>
          <w:szCs w:val="21"/>
          <w:lang w:val="en-US"/>
        </w:rPr>
        <w:t>指令，不得自行运用、处分、分配本基金的任何资产（不包含基金托管人依据中国证券登记结算有限责任公司</w:t>
      </w:r>
      <w:r>
        <w:rPr>
          <w:rFonts w:ascii="Times New Roman" w:hAnsi="Times New Roman" w:cs="Times New Roman" w:hint="eastAsia"/>
          <w:spacing w:val="-4"/>
          <w:sz w:val="21"/>
          <w:szCs w:val="21"/>
          <w:lang w:val="en-US"/>
        </w:rPr>
        <w:t>（以下简称“中登公司”或“中国</w:t>
      </w:r>
      <w:r>
        <w:rPr>
          <w:rFonts w:ascii="Times New Roman" w:hAnsi="Times New Roman" w:cs="Times New Roman"/>
          <w:spacing w:val="-4"/>
          <w:sz w:val="21"/>
          <w:szCs w:val="21"/>
          <w:lang w:val="en-US"/>
        </w:rPr>
        <w:t>结算公司</w:t>
      </w:r>
      <w:r>
        <w:rPr>
          <w:rFonts w:ascii="Times New Roman" w:hAnsi="Times New Roman" w:cs="Times New Roman" w:hint="eastAsia"/>
          <w:spacing w:val="-4"/>
          <w:sz w:val="21"/>
          <w:szCs w:val="21"/>
          <w:lang w:val="en-US"/>
        </w:rPr>
        <w:t>”）</w:t>
      </w:r>
      <w:r>
        <w:rPr>
          <w:rFonts w:ascii="Times New Roman" w:hAnsi="Times New Roman" w:cs="Times New Roman"/>
          <w:spacing w:val="-4"/>
          <w:sz w:val="21"/>
          <w:szCs w:val="21"/>
          <w:lang w:val="en-US"/>
        </w:rPr>
        <w:t>结算数据完成场内交易交收、基金资产开户银行扣收结算费和账户维护费等费用）。</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6</w:t>
      </w:r>
      <w:r>
        <w:rPr>
          <w:rFonts w:ascii="Times New Roman" w:hAnsi="Times New Roman" w:cs="Times New Roman" w:hint="eastAsia"/>
          <w:spacing w:val="-4"/>
          <w:sz w:val="21"/>
          <w:szCs w:val="21"/>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应予以必要的协助与配合，但对此不承担任何责任。</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7</w:t>
      </w:r>
      <w:r>
        <w:rPr>
          <w:rFonts w:ascii="Times New Roman" w:hAnsi="Times New Roman" w:cs="Times New Roman" w:hint="eastAsia"/>
          <w:spacing w:val="-4"/>
          <w:sz w:val="21"/>
          <w:szCs w:val="21"/>
        </w:rPr>
        <w:t>、除依据法律法规和《基金合同》的规定外，基金托管人不得委托第三人托管基金财产。</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（二）基金募集期间及募集资金的验资</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1</w:t>
      </w:r>
      <w:r>
        <w:rPr>
          <w:rFonts w:ascii="Times New Roman" w:hAnsi="Times New Roman" w:cs="Times New Roman" w:hint="eastAsia"/>
          <w:spacing w:val="-4"/>
          <w:sz w:val="21"/>
          <w:szCs w:val="21"/>
        </w:rPr>
        <w:t>、基金</w:t>
      </w:r>
      <w:r w:rsidR="00335A45">
        <w:rPr>
          <w:rFonts w:ascii="Times New Roman" w:hAnsi="Times New Roman" w:cs="Times New Roman" w:hint="eastAsia"/>
          <w:spacing w:val="-4"/>
          <w:sz w:val="21"/>
          <w:szCs w:val="21"/>
        </w:rPr>
        <w:t>募集期间募集的资金应存于基金募集专户。</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2</w:t>
      </w:r>
      <w:r>
        <w:rPr>
          <w:rFonts w:ascii="Times New Roman" w:hAnsi="Times New Roman" w:cs="Times New Roman" w:hint="eastAsia"/>
          <w:spacing w:val="-4"/>
          <w:sz w:val="21"/>
          <w:szCs w:val="21"/>
        </w:rPr>
        <w:t>、基金募集期满或基金停止募集时，募集的基金份额总额、基金募集金额（含网下债券认购所募集的债券按《基金合同》约定的估值方法计算的价值）、基金份额持有人人数符合《基金法》《运作办法》等有关规定后，基金管理人应将属于基金财产的全部资金和债券划入基金托管人开立的基金托管账户，同时在规定时间内，聘请符合《证券法》规定的会计师事务所进行验资，出具验资报告。出具的验资报告由参加验资的</w:t>
      </w:r>
      <w:r>
        <w:rPr>
          <w:rFonts w:ascii="Times New Roman" w:hAnsi="Times New Roman" w:cs="Times New Roman"/>
          <w:spacing w:val="-4"/>
          <w:sz w:val="21"/>
          <w:szCs w:val="21"/>
        </w:rPr>
        <w:t>2</w:t>
      </w:r>
      <w:r>
        <w:rPr>
          <w:rFonts w:ascii="Times New Roman" w:hAnsi="Times New Roman" w:cs="Times New Roman" w:hint="eastAsia"/>
          <w:spacing w:val="-4"/>
          <w:sz w:val="21"/>
          <w:szCs w:val="21"/>
        </w:rPr>
        <w:t>名或</w:t>
      </w:r>
      <w:r>
        <w:rPr>
          <w:rFonts w:ascii="Times New Roman" w:hAnsi="Times New Roman" w:cs="Times New Roman"/>
          <w:spacing w:val="-4"/>
          <w:sz w:val="21"/>
          <w:szCs w:val="21"/>
        </w:rPr>
        <w:t>2</w:t>
      </w:r>
      <w:r>
        <w:rPr>
          <w:rFonts w:ascii="Times New Roman" w:hAnsi="Times New Roman" w:cs="Times New Roman" w:hint="eastAsia"/>
          <w:spacing w:val="-4"/>
          <w:sz w:val="21"/>
          <w:szCs w:val="21"/>
        </w:rPr>
        <w:t>名以上符合《证券法》规定的注册会计师签字方为有效。</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3</w:t>
      </w:r>
      <w:r>
        <w:rPr>
          <w:rFonts w:ascii="Times New Roman" w:hAnsi="Times New Roman" w:cs="Times New Roman" w:hint="eastAsia"/>
          <w:spacing w:val="-4"/>
          <w:sz w:val="21"/>
          <w:szCs w:val="21"/>
        </w:rPr>
        <w:t>、若基金募集期限届满，未能达到《基金合同》生效的条件，由基金管理人或登记结算机构按规定办理退款、债券解冻等事宜，基金托管人应提供充分协助。</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（三）基金托管账户的开立和管理</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1</w:t>
      </w:r>
      <w:r>
        <w:rPr>
          <w:rFonts w:ascii="Times New Roman" w:hAnsi="Times New Roman" w:cs="Times New Roman" w:hint="eastAsia"/>
          <w:spacing w:val="-4"/>
          <w:sz w:val="21"/>
          <w:szCs w:val="21"/>
        </w:rPr>
        <w:t>、基金托管人应负责本基金的托管账户的开设和管理。</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2</w:t>
      </w:r>
      <w:r>
        <w:rPr>
          <w:rFonts w:ascii="Times New Roman" w:hAnsi="Times New Roman" w:cs="Times New Roman" w:hint="eastAsia"/>
          <w:spacing w:val="-4"/>
          <w:sz w:val="21"/>
          <w:szCs w:val="21"/>
        </w:rPr>
        <w:t>、基金托管人可以本基金的名义在商业银行开设本基金的托管账户，并根据基金管理人合法合规的指令办理资金收付。本基金的银行预留印鉴由基金托管人保管和使用。本基金的一切货币收支活动，包括但不限于投资、支付赎回金额、支付基金收益、收取认</w:t>
      </w:r>
      <w:r>
        <w:rPr>
          <w:rFonts w:ascii="Times New Roman" w:hAnsi="Times New Roman" w:cs="Times New Roman" w:hint="eastAsia"/>
          <w:spacing w:val="-4"/>
          <w:sz w:val="21"/>
          <w:szCs w:val="21"/>
        </w:rPr>
        <w:t>/</w:t>
      </w:r>
      <w:r>
        <w:rPr>
          <w:rFonts w:ascii="Times New Roman" w:hAnsi="Times New Roman" w:cs="Times New Roman" w:hint="eastAsia"/>
          <w:spacing w:val="-4"/>
          <w:sz w:val="21"/>
          <w:szCs w:val="21"/>
        </w:rPr>
        <w:t>申购款，均需通过本基金的托管账户进行。</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3</w:t>
      </w:r>
      <w:r>
        <w:rPr>
          <w:rFonts w:ascii="Times New Roman" w:hAnsi="Times New Roman" w:cs="Times New Roman" w:hint="eastAsia"/>
          <w:spacing w:val="-4"/>
          <w:sz w:val="21"/>
          <w:szCs w:val="21"/>
        </w:rPr>
        <w:t>、基金托管账户的开立和使用，限于满足开展本基金业务的需要。基金托管人和基金管理人不得假借本基金的名义开立任何其他银行账户；亦不得使用基金的任何账户进行本基金业务以外的活动。</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4</w:t>
      </w:r>
      <w:r>
        <w:rPr>
          <w:rFonts w:ascii="Times New Roman" w:hAnsi="Times New Roman" w:cs="Times New Roman" w:hint="eastAsia"/>
          <w:spacing w:val="-4"/>
          <w:sz w:val="21"/>
          <w:szCs w:val="21"/>
        </w:rPr>
        <w:t>、基金托管账户应符合相关法律法规的有关规定。</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（四）基金证券账户和证券资金账户的开立和管理</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lastRenderedPageBreak/>
        <w:t>1</w:t>
      </w:r>
      <w:r>
        <w:rPr>
          <w:rFonts w:ascii="Times New Roman" w:hAnsi="Times New Roman" w:cs="Times New Roman" w:hint="eastAsia"/>
          <w:spacing w:val="-4"/>
          <w:sz w:val="21"/>
          <w:szCs w:val="21"/>
        </w:rPr>
        <w:t>、基金托管人在中国证券登记结算有限责任公司北京分公司、上海分公司、深圳分公司为基金开立基金托管人与基金联名的证券账户。</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2</w:t>
      </w:r>
      <w:r>
        <w:rPr>
          <w:rFonts w:ascii="Times New Roman" w:hAnsi="Times New Roman" w:cs="Times New Roman" w:hint="eastAsia"/>
          <w:spacing w:val="-4"/>
          <w:sz w:val="21"/>
          <w:szCs w:val="21"/>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B43A95" w:rsidRDefault="00AB5A93" w:rsidP="00CD082F">
      <w:pPr>
        <w:spacing w:line="360" w:lineRule="auto"/>
        <w:ind w:firstLineChars="200" w:firstLine="412"/>
        <w:jc w:val="both"/>
        <w:rPr>
          <w:rFonts w:ascii="Times New Roman" w:hAnsi="Times New Roman" w:cs="Times New Roman"/>
          <w:spacing w:val="-4"/>
          <w:sz w:val="21"/>
          <w:szCs w:val="21"/>
        </w:rPr>
      </w:pPr>
      <w:r w:rsidRPr="00CD082F">
        <w:rPr>
          <w:rFonts w:ascii="Times New Roman" w:hAnsi="Times New Roman" w:cs="Times New Roman"/>
          <w:spacing w:val="-4"/>
          <w:sz w:val="21"/>
          <w:szCs w:val="21"/>
        </w:rPr>
        <w:t>基金证券账户的开立和使用，限于满足开展本基金业务的需要。基金托管人和基金管理</w:t>
      </w:r>
      <w:r w:rsidRPr="00CD082F">
        <w:rPr>
          <w:rFonts w:ascii="Times New Roman" w:hAnsi="Times New Roman" w:cs="Times New Roman"/>
          <w:spacing w:val="-4"/>
          <w:sz w:val="21"/>
          <w:szCs w:val="21"/>
        </w:rPr>
        <w:t xml:space="preserve"> </w:t>
      </w:r>
      <w:r w:rsidRPr="00CD082F">
        <w:rPr>
          <w:rFonts w:ascii="Times New Roman" w:hAnsi="Times New Roman" w:cs="Times New Roman"/>
          <w:spacing w:val="-4"/>
          <w:sz w:val="21"/>
          <w:szCs w:val="21"/>
        </w:rPr>
        <w:t>人不得出借和未经对方同意擅自转让基金的任何证券账户；亦不得使用基金的任何账户进行</w:t>
      </w:r>
      <w:r w:rsidRPr="00CD082F">
        <w:rPr>
          <w:rFonts w:ascii="Times New Roman" w:hAnsi="Times New Roman" w:cs="Times New Roman"/>
          <w:spacing w:val="-4"/>
          <w:sz w:val="21"/>
          <w:szCs w:val="21"/>
        </w:rPr>
        <w:t xml:space="preserve"> </w:t>
      </w:r>
      <w:r w:rsidRPr="00CD082F">
        <w:rPr>
          <w:rFonts w:ascii="Times New Roman" w:hAnsi="Times New Roman" w:cs="Times New Roman"/>
          <w:spacing w:val="-4"/>
          <w:sz w:val="21"/>
          <w:szCs w:val="21"/>
        </w:rPr>
        <w:t>本基金业务以外的活动。</w:t>
      </w:r>
      <w:r w:rsidRPr="00CD082F">
        <w:rPr>
          <w:rFonts w:ascii="Times New Roman" w:hAnsi="Times New Roman" w:cs="Times New Roman"/>
          <w:spacing w:val="-4"/>
          <w:sz w:val="21"/>
          <w:szCs w:val="21"/>
        </w:rPr>
        <w:t xml:space="preserve"> </w:t>
      </w:r>
    </w:p>
    <w:p w:rsidR="00B43A95" w:rsidRDefault="00AB5A93" w:rsidP="00CD082F">
      <w:pPr>
        <w:spacing w:line="360" w:lineRule="auto"/>
        <w:ind w:firstLineChars="200" w:firstLine="412"/>
        <w:jc w:val="both"/>
        <w:rPr>
          <w:rFonts w:ascii="Times New Roman" w:hAnsi="Times New Roman" w:cs="Times New Roman"/>
          <w:spacing w:val="-4"/>
          <w:sz w:val="21"/>
          <w:szCs w:val="21"/>
        </w:rPr>
      </w:pPr>
      <w:r w:rsidRPr="00CD082F">
        <w:rPr>
          <w:rFonts w:ascii="Times New Roman" w:hAnsi="Times New Roman" w:cs="Times New Roman"/>
          <w:spacing w:val="-4"/>
          <w:sz w:val="21"/>
          <w:szCs w:val="21"/>
        </w:rPr>
        <w:t>基金管理人不得对基金证券交收账户、资金交收账户进行证券的超卖或超买。</w:t>
      </w:r>
      <w:r w:rsidRPr="00CD082F">
        <w:rPr>
          <w:rFonts w:ascii="Times New Roman" w:hAnsi="Times New Roman" w:cs="Times New Roman"/>
          <w:spacing w:val="-4"/>
          <w:sz w:val="21"/>
          <w:szCs w:val="21"/>
        </w:rPr>
        <w:t xml:space="preserve"> </w:t>
      </w:r>
    </w:p>
    <w:p w:rsidR="00B43A95" w:rsidRPr="00CD082F" w:rsidRDefault="00AB5A93" w:rsidP="00CD082F">
      <w:pPr>
        <w:spacing w:line="360" w:lineRule="auto"/>
        <w:ind w:firstLineChars="200" w:firstLine="412"/>
        <w:jc w:val="both"/>
        <w:rPr>
          <w:rFonts w:ascii="Times New Roman" w:hAnsi="Times New Roman" w:cs="Times New Roman"/>
          <w:spacing w:val="-4"/>
          <w:sz w:val="21"/>
          <w:szCs w:val="21"/>
        </w:rPr>
      </w:pPr>
      <w:r w:rsidRPr="00CD082F">
        <w:rPr>
          <w:rFonts w:ascii="Times New Roman" w:hAnsi="Times New Roman" w:cs="Times New Roman"/>
          <w:spacing w:val="-4"/>
          <w:sz w:val="21"/>
          <w:szCs w:val="21"/>
        </w:rPr>
        <w:t>基金托管人以基金托管人的名义在中国证券登记结算有限责任公司上海分公司</w:t>
      </w:r>
      <w:r w:rsidRPr="00CD082F">
        <w:rPr>
          <w:rFonts w:ascii="Times New Roman" w:hAnsi="Times New Roman" w:cs="Times New Roman"/>
          <w:spacing w:val="-4"/>
          <w:sz w:val="21"/>
          <w:szCs w:val="21"/>
        </w:rPr>
        <w:t>/</w:t>
      </w:r>
      <w:r w:rsidRPr="00CD082F">
        <w:rPr>
          <w:rFonts w:ascii="Times New Roman" w:hAnsi="Times New Roman" w:cs="Times New Roman"/>
          <w:spacing w:val="-4"/>
          <w:sz w:val="21"/>
          <w:szCs w:val="21"/>
        </w:rPr>
        <w:t>深圳分公司开立结算备付金账户即资金交收账户，用于证券交易资金的结算。</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（五）债券托管专户的开设和管理</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根据基金管理人的要求，《基金合同》生效后，基金托管人根据中国人民银行、中央国债登记结算有限责任公司、银行间市场清算所股份有限公司的有关规定，以基金的名义在中央国债登记结算有限责任公司、银行间市场清算所股份有限公司开立债券托管与结算账户，并代表基金进行银行间市场债券的结算。基金管理人和基金托管人同时代表基金签订全国银行间债券市场债券回购主协议。</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（六）其他账户的开立和管理</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1</w:t>
      </w:r>
      <w:r>
        <w:rPr>
          <w:rFonts w:ascii="Times New Roman" w:hAnsi="Times New Roman" w:cs="Times New Roman" w:hint="eastAsia"/>
          <w:spacing w:val="-4"/>
          <w:sz w:val="21"/>
          <w:szCs w:val="21"/>
        </w:rPr>
        <w:t>、因业务发展需要而开立的其他账户，可以根据法律法规和《基金合同》的规定，在基金管理人和基金托管人商议后开立。新账户按有关规则使用并管理。</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2</w:t>
      </w:r>
      <w:r>
        <w:rPr>
          <w:rFonts w:ascii="Times New Roman" w:hAnsi="Times New Roman" w:cs="Times New Roman" w:hint="eastAsia"/>
          <w:spacing w:val="-4"/>
          <w:sz w:val="21"/>
          <w:szCs w:val="21"/>
        </w:rPr>
        <w:t>、法律法规等有关规定对相关账户的开立和管理另有规定的，从其规定办理。</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（七）基金财产投资的有关有价凭证等的保管</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（八）与基金财产有关的重大合同的保管</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w:t>
      </w:r>
      <w:r>
        <w:rPr>
          <w:rFonts w:ascii="Times New Roman" w:hAnsi="Times New Roman" w:cs="Times New Roman" w:hint="eastAsia"/>
          <w:bCs/>
          <w:sz w:val="21"/>
          <w:szCs w:val="21"/>
        </w:rPr>
        <w:t>不低于</w:t>
      </w:r>
      <w:r>
        <w:rPr>
          <w:rFonts w:ascii="Times New Roman" w:hAnsi="Times New Roman" w:cs="Times New Roman" w:hint="eastAsia"/>
          <w:sz w:val="21"/>
          <w:szCs w:val="21"/>
        </w:rPr>
        <w:t>法律法规规定的</w:t>
      </w:r>
      <w:r>
        <w:rPr>
          <w:rFonts w:ascii="Times New Roman" w:hAnsi="Times New Roman" w:cs="Times New Roman" w:hint="eastAsia"/>
          <w:bCs/>
          <w:sz w:val="21"/>
          <w:szCs w:val="21"/>
        </w:rPr>
        <w:t>最低期限</w:t>
      </w:r>
      <w:r>
        <w:rPr>
          <w:rFonts w:ascii="Times New Roman" w:hAnsi="Times New Roman" w:cs="Times New Roman" w:hint="eastAsia"/>
          <w:spacing w:val="-4"/>
          <w:sz w:val="21"/>
          <w:szCs w:val="21"/>
        </w:rPr>
        <w:t>。对于无法取得二份以上的正本的，基金管理人应向</w:t>
      </w:r>
      <w:r>
        <w:rPr>
          <w:rFonts w:ascii="Times New Roman" w:hAnsi="Times New Roman" w:cs="Times New Roman" w:hint="eastAsia"/>
          <w:spacing w:val="-4"/>
          <w:sz w:val="21"/>
          <w:szCs w:val="21"/>
        </w:rPr>
        <w:lastRenderedPageBreak/>
        <w:t>基金托管人提供加盖公章的合同复印件或扫描件，未经双方协商一致，合同原件不得转移。</w:t>
      </w:r>
    </w:p>
    <w:p w:rsidR="00B43A95" w:rsidRDefault="00B43A95">
      <w:pPr>
        <w:spacing w:line="360" w:lineRule="auto"/>
        <w:ind w:firstLineChars="200" w:firstLine="412"/>
        <w:jc w:val="both"/>
        <w:rPr>
          <w:rFonts w:ascii="Times New Roman" w:hAnsi="Times New Roman" w:cs="Times New Roman"/>
          <w:spacing w:val="-4"/>
          <w:sz w:val="21"/>
          <w:szCs w:val="21"/>
        </w:rPr>
      </w:pPr>
    </w:p>
    <w:p w:rsidR="00B43A95" w:rsidRDefault="00AB5A93">
      <w:pPr>
        <w:pStyle w:val="1"/>
        <w:spacing w:before="100" w:beforeAutospacing="1" w:after="100" w:afterAutospacing="1"/>
        <w:ind w:left="0"/>
        <w:jc w:val="center"/>
        <w:rPr>
          <w:rFonts w:ascii="Times New Roman" w:eastAsia="宋体" w:hAnsi="Times New Roman" w:cs="Times New Roman"/>
          <w:bCs w:val="0"/>
          <w:color w:val="000000" w:themeColor="text1"/>
          <w:kern w:val="2"/>
          <w:sz w:val="21"/>
          <w:szCs w:val="21"/>
          <w:lang w:val="en-US" w:bidi="ar-SA"/>
        </w:rPr>
      </w:pPr>
      <w:bookmarkStart w:id="6" w:name="_Toc516502491"/>
      <w:r>
        <w:rPr>
          <w:rFonts w:ascii="Times New Roman" w:eastAsia="宋体" w:hAnsi="Times New Roman" w:cs="Times New Roman" w:hint="eastAsia"/>
          <w:bCs w:val="0"/>
          <w:color w:val="000000" w:themeColor="text1"/>
          <w:kern w:val="2"/>
          <w:sz w:val="21"/>
          <w:szCs w:val="21"/>
          <w:lang w:val="en-US" w:bidi="ar-SA"/>
        </w:rPr>
        <w:t>六、指令的发送、确认及执行</w:t>
      </w:r>
      <w:bookmarkEnd w:id="6"/>
    </w:p>
    <w:p w:rsidR="00B43A95" w:rsidRDefault="00AB5A93">
      <w:pPr>
        <w:spacing w:line="360" w:lineRule="auto"/>
        <w:ind w:firstLineChars="200" w:firstLine="440"/>
        <w:jc w:val="both"/>
      </w:pPr>
      <w:r>
        <w:t>基金管理人在运用基金财产时向基金托管人发送资金划拨及其他款项收付指令，基金托管人执行基金管理人的指令、办理基金名下的资金往来等有关事项。基金管理人发送指令应采用电子指令、邮件、传真或其它双方共同确认的方式。</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（一）基金管理人对发送指令人员的书面授权</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1</w:t>
      </w:r>
      <w:r>
        <w:rPr>
          <w:rFonts w:ascii="Times New Roman" w:hAnsi="Times New Roman" w:cs="Times New Roman" w:hint="eastAsia"/>
          <w:spacing w:val="-4"/>
          <w:sz w:val="21"/>
          <w:szCs w:val="21"/>
        </w:rPr>
        <w:t>、基金管理人应指定专人向基金托管人发送指令。</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2</w:t>
      </w:r>
      <w:r>
        <w:rPr>
          <w:rFonts w:ascii="Times New Roman" w:hAnsi="Times New Roman" w:cs="Times New Roman" w:hint="eastAsia"/>
          <w:spacing w:val="-4"/>
          <w:sz w:val="21"/>
          <w:szCs w:val="21"/>
        </w:rPr>
        <w:t>、基金管理人应优先选择使用电子指令。如需使用纸质指令的，基金管理人需向基金托管人提供纸质指令授权通知，纸质指令授权通知的内容包括被授权人的名单、签章样本、权限、生效时间和预留印鉴。</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基金管理人撤换被授权人员、改变被授权人员的权限或者更改被授权印鉴，须提前三个工作日向基金托管人提供变更后的新的授权通知。授权通知应加盖基金管理人公司公章及法定代表人签字或盖章并写明生效时间。</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3</w:t>
      </w:r>
      <w:r>
        <w:rPr>
          <w:rFonts w:ascii="Times New Roman" w:hAnsi="Times New Roman" w:cs="Times New Roman" w:hint="eastAsia"/>
          <w:spacing w:val="-4"/>
          <w:sz w:val="21"/>
          <w:szCs w:val="21"/>
        </w:rPr>
        <w:t>、授权通知的确认：首次授权通知，在基金托管人确认收到授权通知后于授权通知载明的生效时间生效（如基金托管人收到授权通知的时间晚于授权通知载明的生效时间，则授权通知自基金托管人确认收到授权通知的时间生效，下同）。基金管理人使用电子邮件方式或其他双方认可的方式向基金托管人发送授权通知后，应及时与基金托管人电话确认，以保证基金托管人及时查收。由于人员、权限或印鉴变更而提供的变更后的新的授权通知，基金管理人必须提前至少一个交易日，使用电子邮件方式或其他双方认可的方式向基金托管人发送扫描件，同时电话通知基金托管人，变更后的新的授权通知经基金托管人确认后于授权通知载明的生效时间（早于基金托管人确认时间的，以基金托管人确认日为准）生效，同时原授权通知失效。变更通知生效前，基金托管人仍应按原约定执行指令，基金管理人不得否认其效力。对于基金管理人未及时通知变更情况导致基金托管人发生资金划付差错，由此产生的责任由基金管理人承担。</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4</w:t>
      </w:r>
      <w:r>
        <w:rPr>
          <w:rFonts w:ascii="Times New Roman" w:hAnsi="Times New Roman" w:cs="Times New Roman" w:hint="eastAsia"/>
          <w:spacing w:val="-4"/>
          <w:sz w:val="21"/>
          <w:szCs w:val="21"/>
        </w:rPr>
        <w:t>、基金管理人和基金托管人对授权文件负有保密义务，其内容不得向被授权人及相关操作人员以外的任何人泄露，</w:t>
      </w:r>
      <w:r>
        <w:rPr>
          <w:rFonts w:ascii="Times New Roman" w:hAnsi="Times New Roman" w:cs="Times New Roman" w:hint="eastAsia"/>
          <w:sz w:val="21"/>
          <w:szCs w:val="21"/>
        </w:rPr>
        <w:t>但法律法规规定或有权机关要求的除外</w:t>
      </w:r>
      <w:r>
        <w:rPr>
          <w:rFonts w:ascii="Times New Roman" w:hAnsi="Times New Roman" w:cs="Times New Roman" w:hint="eastAsia"/>
          <w:spacing w:val="-4"/>
          <w:sz w:val="21"/>
          <w:szCs w:val="21"/>
        </w:rPr>
        <w:t>。</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（二）指令的内容</w:t>
      </w:r>
    </w:p>
    <w:p w:rsidR="00B43A95" w:rsidRDefault="00AB5A93" w:rsidP="00CD082F">
      <w:pPr>
        <w:spacing w:line="360" w:lineRule="auto"/>
        <w:ind w:firstLineChars="200" w:firstLine="412"/>
        <w:jc w:val="both"/>
        <w:rPr>
          <w:rFonts w:ascii="Times New Roman" w:hAnsi="Times New Roman" w:cs="Times New Roman"/>
          <w:spacing w:val="-4"/>
          <w:sz w:val="21"/>
          <w:szCs w:val="21"/>
        </w:rPr>
      </w:pPr>
      <w:r w:rsidRPr="00CD082F">
        <w:rPr>
          <w:rFonts w:ascii="Times New Roman" w:hAnsi="Times New Roman" w:cs="Times New Roman"/>
          <w:spacing w:val="-4"/>
          <w:sz w:val="21"/>
          <w:szCs w:val="21"/>
        </w:rPr>
        <w:t>指令是基金管理人在运用基金资产时，向基金托管人发出的资金划拨及其他款项收付的指令。指令应写明款项事由、支付时间、到账时间、金额、账户等执行支付所需内容，加盖预留印鉴并由被授权人签章。</w:t>
      </w:r>
      <w:r w:rsidRPr="00CD082F">
        <w:rPr>
          <w:rFonts w:ascii="Times New Roman" w:hAnsi="Times New Roman" w:cs="Times New Roman"/>
          <w:spacing w:val="-4"/>
          <w:sz w:val="21"/>
          <w:szCs w:val="21"/>
        </w:rPr>
        <w:t xml:space="preserve"> </w:t>
      </w:r>
    </w:p>
    <w:p w:rsidR="00B43A95" w:rsidRDefault="00AB5A93" w:rsidP="00CD082F">
      <w:pPr>
        <w:spacing w:line="360" w:lineRule="auto"/>
        <w:ind w:firstLineChars="200" w:firstLine="412"/>
        <w:jc w:val="both"/>
        <w:rPr>
          <w:rFonts w:ascii="Times New Roman" w:hAnsi="Times New Roman" w:cs="Times New Roman"/>
          <w:spacing w:val="-4"/>
          <w:sz w:val="21"/>
          <w:szCs w:val="21"/>
        </w:rPr>
      </w:pPr>
      <w:r w:rsidRPr="00CD082F">
        <w:rPr>
          <w:rFonts w:ascii="Times New Roman" w:hAnsi="Times New Roman" w:cs="Times New Roman"/>
          <w:spacing w:val="-4"/>
          <w:sz w:val="21"/>
          <w:szCs w:val="21"/>
        </w:rPr>
        <w:lastRenderedPageBreak/>
        <w:t>基金管理人同意基金托管人根据其收到的中国证券登记结算有限责任公司或证券交易所的交易数据与中国证券登记结算有限责任公司进行交收。基金财产投资发生的所有场内交易的清算交收，由基金托管人根据相关登记结算公司的结算规则办理，基金管理人不需要另行出具指令。</w:t>
      </w:r>
      <w:r w:rsidRPr="00CD082F">
        <w:rPr>
          <w:rFonts w:ascii="Times New Roman" w:hAnsi="Times New Roman" w:cs="Times New Roman"/>
          <w:spacing w:val="-4"/>
          <w:sz w:val="21"/>
          <w:szCs w:val="21"/>
        </w:rPr>
        <w:t xml:space="preserve"> </w:t>
      </w:r>
    </w:p>
    <w:p w:rsidR="00B43A95" w:rsidRDefault="00AB5A93" w:rsidP="00CD082F">
      <w:pPr>
        <w:spacing w:line="360" w:lineRule="auto"/>
        <w:ind w:firstLineChars="200" w:firstLine="412"/>
        <w:jc w:val="both"/>
        <w:rPr>
          <w:rFonts w:ascii="Times New Roman" w:hAnsi="Times New Roman" w:cs="Times New Roman"/>
          <w:spacing w:val="-4"/>
          <w:sz w:val="21"/>
          <w:szCs w:val="21"/>
        </w:rPr>
      </w:pPr>
      <w:r w:rsidRPr="00CD082F">
        <w:rPr>
          <w:rFonts w:ascii="Times New Roman" w:hAnsi="Times New Roman" w:cs="Times New Roman"/>
          <w:spacing w:val="-4"/>
          <w:sz w:val="21"/>
          <w:szCs w:val="21"/>
        </w:rPr>
        <w:t>遵照中</w:t>
      </w:r>
      <w:r>
        <w:rPr>
          <w:rFonts w:ascii="Times New Roman" w:hAnsi="Times New Roman" w:cs="Times New Roman"/>
          <w:spacing w:val="-4"/>
          <w:sz w:val="21"/>
          <w:szCs w:val="21"/>
        </w:rPr>
        <w:t>中国证券登记结算有限责任公司或证券交易所</w:t>
      </w:r>
      <w:r w:rsidRPr="00CD082F">
        <w:rPr>
          <w:rFonts w:ascii="Times New Roman" w:hAnsi="Times New Roman" w:cs="Times New Roman"/>
          <w:spacing w:val="-4"/>
          <w:sz w:val="21"/>
          <w:szCs w:val="21"/>
        </w:rPr>
        <w:t>有关规定所做的结算备付金、保证金及最低结算备付金的调整也视为基金管理人向基金托管人发出的有效指令，无须基金管理人向基金托管人另行出具指令，基金托管人应予以执行，但应及时通知基金管理人。</w:t>
      </w:r>
    </w:p>
    <w:p w:rsidR="00B43A95" w:rsidRPr="00CD082F" w:rsidRDefault="00AB5A93" w:rsidP="00CD082F">
      <w:pPr>
        <w:spacing w:line="360" w:lineRule="auto"/>
        <w:ind w:firstLineChars="200" w:firstLine="412"/>
        <w:jc w:val="both"/>
        <w:rPr>
          <w:rFonts w:ascii="Times New Roman" w:hAnsi="Times New Roman" w:cs="Times New Roman"/>
          <w:spacing w:val="-4"/>
          <w:sz w:val="21"/>
          <w:szCs w:val="21"/>
        </w:rPr>
      </w:pPr>
      <w:r w:rsidRPr="00CD082F">
        <w:rPr>
          <w:rFonts w:ascii="Times New Roman" w:hAnsi="Times New Roman" w:cs="Times New Roman"/>
          <w:spacing w:val="-4"/>
          <w:sz w:val="21"/>
          <w:szCs w:val="21"/>
        </w:rPr>
        <w:t>本基金银行账户发生的银行结算费用等银行费用，由基金托管人直接从银行账户中扣划，无须基金管理人出具指令，但应及时通知基金管理人。</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（三）指令的发送、确认及执行的时间和程序</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1</w:t>
      </w:r>
      <w:r>
        <w:rPr>
          <w:rFonts w:ascii="Times New Roman" w:hAnsi="Times New Roman" w:cs="Times New Roman" w:hint="eastAsia"/>
          <w:spacing w:val="-4"/>
          <w:sz w:val="21"/>
          <w:szCs w:val="21"/>
        </w:rPr>
        <w:t>、指令的发送与确认</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基金管理人发送指令应采用电子邮件扫描件、电子指令或双方认同的其他方式。</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如非上述方式发送的指令，基金托管人有权拒绝指令的确认和执行。基金管理人应按照法律法规和《基金合同》的规定，在其合法的经营权限和交易权限内发送指令。</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被授权人应严格按照其授权权限发送指令。对于被授权人依约定程序发出的指令，基金管理人不得否认其效力。但如果基金管理人已经撤销或更改对交易指令发送人员的授权，并且基金托管人根据本协议确认后，则对于此后该交易指令发送人员无权发送的指令，或超权限发送的指令，基金管理人不承担责任，授权已更改但未经基金托管人确认的情况除外。</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基金管理人发送加盖预留印鉴的指令后，应及时向基金托管人确认。指令或成交单到达基金托管人后，基金托管人应指定专人根据基金管理人提供的授权文件进行表面一致性审查，及时审慎验证有关内容及印鉴，基金托管人对指令的真实性不承担责任。如有疑问必须及时通知基金管理人。</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对于要求当天到账的指令，必须在当天</w:t>
      </w:r>
      <w:r>
        <w:rPr>
          <w:rFonts w:ascii="Times New Roman" w:hAnsi="Times New Roman" w:cs="Times New Roman"/>
          <w:spacing w:val="-4"/>
          <w:sz w:val="21"/>
          <w:szCs w:val="21"/>
        </w:rPr>
        <w:t>15:00</w:t>
      </w:r>
      <w:r>
        <w:rPr>
          <w:rFonts w:ascii="Times New Roman" w:hAnsi="Times New Roman" w:cs="Times New Roman" w:hint="eastAsia"/>
          <w:spacing w:val="-4"/>
          <w:sz w:val="21"/>
          <w:szCs w:val="21"/>
        </w:rPr>
        <w:t>前向基金托管人发送，</w:t>
      </w:r>
      <w:r>
        <w:rPr>
          <w:rFonts w:ascii="Times New Roman" w:hAnsi="Times New Roman" w:cs="Times New Roman"/>
          <w:spacing w:val="-4"/>
          <w:sz w:val="21"/>
          <w:szCs w:val="21"/>
        </w:rPr>
        <w:t>15:00</w:t>
      </w:r>
      <w:r>
        <w:rPr>
          <w:rFonts w:ascii="Times New Roman" w:hAnsi="Times New Roman" w:cs="Times New Roman" w:hint="eastAsia"/>
          <w:spacing w:val="-4"/>
          <w:sz w:val="21"/>
          <w:szCs w:val="21"/>
        </w:rPr>
        <w:t>之后发送的，基金托管人尽力执行，但不能保证划账成功。如果要求当天某一时点到账的指令，则指令需要提前</w:t>
      </w:r>
      <w:r>
        <w:rPr>
          <w:rFonts w:ascii="Times New Roman" w:hAnsi="Times New Roman" w:cs="Times New Roman"/>
          <w:spacing w:val="-4"/>
          <w:sz w:val="21"/>
          <w:szCs w:val="21"/>
        </w:rPr>
        <w:t>2</w:t>
      </w:r>
      <w:r>
        <w:rPr>
          <w:rFonts w:ascii="Times New Roman" w:hAnsi="Times New Roman" w:cs="Times New Roman" w:hint="eastAsia"/>
          <w:spacing w:val="-4"/>
          <w:sz w:val="21"/>
          <w:szCs w:val="21"/>
        </w:rPr>
        <w:t>个工作小时发送，并确保相关付款条件已经具备。基金托管人将视付款条件具备时为指令送达时间。</w:t>
      </w:r>
      <w:r>
        <w:rPr>
          <w:rFonts w:ascii="Times New Roman" w:hAnsi="Times New Roman" w:cs="Times New Roman" w:hint="eastAsia"/>
          <w:sz w:val="21"/>
          <w:szCs w:val="21"/>
        </w:rPr>
        <w:t>因基金管理人指令传输不及时，致使资金未能及时划入中登公司所造成的损失由基金管理人承担。</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2</w:t>
      </w:r>
      <w:r>
        <w:rPr>
          <w:rFonts w:ascii="Times New Roman" w:hAnsi="Times New Roman" w:cs="Times New Roman" w:hint="eastAsia"/>
          <w:spacing w:val="-4"/>
          <w:sz w:val="21"/>
          <w:szCs w:val="21"/>
        </w:rPr>
        <w:t>、指令的执行</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基金托管人对指令验证后，应及时执行。</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基金管理人应确保基金托管人在执行指令时，基金托管账户有足够的资金余额，否则基金托管人可不予执行，但应及时通知基金管理人，由基金管理人审核、查明原因，确认此交易指令无效，基金托管人在履行及时通知义务后不承担因未执行该指令造成损失的责任。</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lastRenderedPageBreak/>
        <w:t>（四）基金管理人发送错误指令的情形和处理程序</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基金托管人发现指令错误，提示基金管理人改正后再予以执行，若由此造成的延误损失由基金管理人承担。</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（五）基金托管人依照法律法规暂缓、拒绝执行指令的情形和处理程序</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若基金托管人发现基金管理人的指令违反法律、行政法规和其他有关规定，或者违反《基金合同》约定的，应当视情况暂缓或拒绝执行，及时通知基金管理人。</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若基金托管人发现基金管理人依据交易程序已经生效的指令违反法律、行政法规和其他有关规定，或者违反《基金合同》约定的，应当及时通知基金管理人，由此造成的损失由基金管理人承担。</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（六）基金托管人未按照基金管理人指令执行的处理方法</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基金托管人由于其自身原因未能执行或错误执行基金管理人指令致使本基金的利益受到损害，应在发现后，及时采取措施予以弥补，给基金份额持有人、基金管理人造成损失的，对由此造成的直接经济损失负赔偿责任。</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（七）其他事项</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1</w:t>
      </w:r>
      <w:r>
        <w:rPr>
          <w:rFonts w:ascii="Times New Roman" w:hAnsi="Times New Roman" w:cs="Times New Roman" w:hint="eastAsia"/>
          <w:spacing w:val="-4"/>
          <w:sz w:val="21"/>
          <w:szCs w:val="21"/>
        </w:rPr>
        <w:t>、基金托管人在接收指令时，应对指令的要素是否齐全、印鉴是否与预留的授权文件内容相符进行表面一致性检查，如发现问题，应及时通知基金管理人。</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2</w:t>
      </w:r>
      <w:r>
        <w:rPr>
          <w:rFonts w:ascii="Times New Roman" w:hAnsi="Times New Roman" w:cs="Times New Roman" w:hint="eastAsia"/>
          <w:spacing w:val="-4"/>
          <w:sz w:val="21"/>
          <w:szCs w:val="21"/>
        </w:rPr>
        <w:t>、除因其自身原因致使基金的利益受到损害而负赔偿责任外，基金托管人按照法律法规、本协议的规定正确、及时执行基金管理人的合法指令而引起的任何可能发生的损失，均由基金管理人负责。</w:t>
      </w:r>
    </w:p>
    <w:p w:rsidR="00B43A95" w:rsidRDefault="00AB5A93">
      <w:pPr>
        <w:pStyle w:val="1"/>
        <w:spacing w:before="100" w:beforeAutospacing="1" w:after="100" w:afterAutospacing="1"/>
        <w:ind w:left="0"/>
        <w:jc w:val="center"/>
        <w:rPr>
          <w:rFonts w:ascii="Times New Roman" w:eastAsia="宋体" w:hAnsi="Times New Roman" w:cs="Times New Roman"/>
          <w:bCs w:val="0"/>
          <w:color w:val="000000" w:themeColor="text1"/>
          <w:kern w:val="2"/>
          <w:sz w:val="21"/>
          <w:szCs w:val="21"/>
          <w:lang w:val="en-US" w:bidi="ar-SA"/>
        </w:rPr>
      </w:pPr>
      <w:bookmarkStart w:id="7" w:name="_Toc516502492"/>
      <w:r>
        <w:rPr>
          <w:rFonts w:ascii="Times New Roman" w:eastAsia="宋体" w:hAnsi="Times New Roman" w:cs="Times New Roman" w:hint="eastAsia"/>
          <w:bCs w:val="0"/>
          <w:color w:val="000000" w:themeColor="text1"/>
          <w:kern w:val="2"/>
          <w:sz w:val="21"/>
          <w:szCs w:val="21"/>
          <w:lang w:val="en-US" w:bidi="ar-SA"/>
        </w:rPr>
        <w:t>七、交易及清算交收安排</w:t>
      </w:r>
      <w:bookmarkEnd w:id="7"/>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（一）选择代理证券、期货买卖的证券、期货经纪机构</w:t>
      </w:r>
    </w:p>
    <w:p w:rsidR="00B43A95" w:rsidRDefault="00AB5A93">
      <w:pPr>
        <w:spacing w:line="360" w:lineRule="auto"/>
        <w:ind w:firstLineChars="200" w:firstLine="440"/>
        <w:jc w:val="both"/>
      </w:pPr>
      <w:r>
        <w:t>基金管理人应制定选择证券经营机构的标准和程序，并负责根据相关标准以及内部管理 制度对有关证券经营机构进行考察后确定代理本基金证券买卖的证券经营机构，并承担相应责任。基金管理人和被选择的证券经营机构签订交易单元租用协议，由基金管理人通知基金 托管人，并在法定信息披露报告中披露有关内容。</w:t>
      </w:r>
    </w:p>
    <w:p w:rsidR="00B43A95" w:rsidRDefault="00AB5A93">
      <w:pPr>
        <w:spacing w:line="360" w:lineRule="auto"/>
        <w:ind w:firstLineChars="200" w:firstLine="440"/>
        <w:jc w:val="both"/>
      </w:pPr>
      <w:r>
        <w:t xml:space="preserve">基金管理人应及时将基金交易单元、佣金费率等基本信息以及变更情况及时以书面形式通知基金托管人。 </w:t>
      </w:r>
    </w:p>
    <w:p w:rsidR="00B43A95" w:rsidRDefault="00AB5A93">
      <w:pPr>
        <w:spacing w:line="360" w:lineRule="auto"/>
        <w:ind w:firstLineChars="200" w:firstLine="440"/>
        <w:jc w:val="both"/>
        <w:rPr>
          <w:rFonts w:ascii="Times New Roman" w:hAnsi="Times New Roman" w:cs="Times New Roman"/>
          <w:spacing w:val="-4"/>
          <w:sz w:val="21"/>
          <w:szCs w:val="21"/>
        </w:rPr>
      </w:pPr>
      <w:r>
        <w:t>基金管理人负责选择代理本基金国债期货交易的期货经纪机构，并与其签订期货经纪合同。其他事宜根据法律法规、《基金合同》的相关规定执行，若无明确规定的，可参照有关证券买卖、证券经纪机构选择的规则执行。</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lastRenderedPageBreak/>
        <w:t>（二）基金投资证券后的清算交收安排</w:t>
      </w:r>
    </w:p>
    <w:p w:rsidR="00B43A95" w:rsidRDefault="00AB5A93">
      <w:pPr>
        <w:spacing w:line="360" w:lineRule="auto"/>
        <w:ind w:firstLineChars="200" w:firstLine="440"/>
        <w:jc w:val="both"/>
      </w:pPr>
      <w:r>
        <w:t>1</w:t>
      </w:r>
      <w:r>
        <w:rPr>
          <w:rFonts w:hint="eastAsia"/>
        </w:rPr>
        <w:t>、清算与交收</w:t>
      </w:r>
    </w:p>
    <w:p w:rsidR="00B43A95" w:rsidRDefault="00AB5A93">
      <w:pPr>
        <w:spacing w:line="360" w:lineRule="auto"/>
        <w:ind w:firstLineChars="200" w:firstLine="440"/>
        <w:jc w:val="both"/>
      </w:pPr>
      <w:r>
        <w:rPr>
          <w:rFonts w:hint="eastAsia"/>
        </w:rPr>
        <w:t>（1）</w:t>
      </w:r>
      <w:r>
        <w:t>基金管理人和基金托管人在基金清算和交收中的责任</w:t>
      </w:r>
    </w:p>
    <w:p w:rsidR="00B43A95" w:rsidRDefault="00AB5A93">
      <w:pPr>
        <w:spacing w:line="360" w:lineRule="auto"/>
        <w:ind w:firstLineChars="200" w:firstLine="440"/>
        <w:jc w:val="both"/>
      </w:pPr>
      <w:r>
        <w:t xml:space="preserve">基金管理人与基金托管人应根据有关法律法规及相关业务规则，签订《证券交易资金结算协议》，用以具体明确基金管理人与基金托管人在证券交易资金结算业务中的责任。 </w:t>
      </w:r>
    </w:p>
    <w:p w:rsidR="00B43A95" w:rsidRDefault="00AB5A93">
      <w:pPr>
        <w:spacing w:line="360" w:lineRule="auto"/>
        <w:ind w:firstLineChars="200" w:firstLine="440"/>
        <w:jc w:val="both"/>
      </w:pPr>
      <w:r>
        <w:t xml:space="preserve">对基金管理人的资金划拨指令，基金托管人在复核无误后应在规定期限内执行并在执行完毕后确认，不得延误。 </w:t>
      </w:r>
    </w:p>
    <w:p w:rsidR="00B43A95" w:rsidRDefault="00AB5A93">
      <w:pPr>
        <w:spacing w:line="360" w:lineRule="auto"/>
        <w:ind w:firstLineChars="200" w:firstLine="440"/>
        <w:jc w:val="both"/>
      </w:pPr>
      <w:r>
        <w:t xml:space="preserve">本基金投资于证券发生的所有场内、场外交易的资金清算交割，由基金托管人负责办理。 </w:t>
      </w:r>
    </w:p>
    <w:p w:rsidR="00B43A95" w:rsidRDefault="00AB5A93">
      <w:pPr>
        <w:spacing w:line="360" w:lineRule="auto"/>
        <w:ind w:firstLineChars="200" w:firstLine="440"/>
        <w:jc w:val="both"/>
      </w:pPr>
      <w:r>
        <w:t xml:space="preserve">本基金投资于期货市场的证券及资金清算交割安排以届时签署的期货投资三方操作备忘录约定为准。 </w:t>
      </w:r>
    </w:p>
    <w:p w:rsidR="00B43A95" w:rsidRDefault="00AB5A93">
      <w:pPr>
        <w:spacing w:line="360" w:lineRule="auto"/>
        <w:ind w:firstLineChars="200" w:firstLine="440"/>
        <w:jc w:val="both"/>
      </w:pPr>
      <w:r>
        <w:t xml:space="preserve">本基金证券投资的清算交割，由基金托管人通过中国证券登记结算有限责任公司上海分公司/深圳分公司及清算代理银行办理。 </w:t>
      </w:r>
    </w:p>
    <w:p w:rsidR="00B43A95" w:rsidRDefault="00AB5A93">
      <w:pPr>
        <w:spacing w:line="360" w:lineRule="auto"/>
        <w:ind w:firstLineChars="200" w:firstLine="440"/>
        <w:jc w:val="both"/>
      </w:pPr>
      <w:r>
        <w:t xml:space="preserve">如因基金托管人的自身原因在清算上造成基金资产的损失，应由基金托管人负责赔偿基金的损失；如果因为基金管理人违反法律法规的规定进行证券投资或违反双方签订的《证券交易资金结算协议》而造成基金投资清算困难和风险的，基金托管人发现后应立即通知基金管理人，由基金管理人负责解决，基金托管人应给予必要的配合，由此给基金造成的损失由基金管理人承担。 </w:t>
      </w:r>
    </w:p>
    <w:p w:rsidR="00B43A95" w:rsidRDefault="00AB5A93">
      <w:pPr>
        <w:spacing w:line="360" w:lineRule="auto"/>
        <w:ind w:firstLineChars="200" w:firstLine="440"/>
        <w:jc w:val="both"/>
      </w:pPr>
      <w:r>
        <w:rPr>
          <w:rFonts w:hint="eastAsia"/>
        </w:rPr>
        <w:t>（2）</w:t>
      </w:r>
      <w:r>
        <w:t>基金出现超买或超卖的责任认定及处理程序</w:t>
      </w:r>
    </w:p>
    <w:p w:rsidR="00B43A95" w:rsidRDefault="00AB5A93">
      <w:pPr>
        <w:spacing w:line="360" w:lineRule="auto"/>
        <w:ind w:firstLineChars="200" w:firstLine="440"/>
        <w:jc w:val="both"/>
      </w:pPr>
      <w:r>
        <w:t xml:space="preserve">基金托管人在履行监督职能时，如果发现基金投资证券过程中出现超买或超卖现象，应立即提醒基金管理人，由基金管理人负责解决，由此给基金造成的损失由基金管理人承担。如果基金管理人发生超买行为，必须于T+1日12：00之前备足头寸，用以完成清算交收。 </w:t>
      </w:r>
    </w:p>
    <w:p w:rsidR="00B43A95" w:rsidRDefault="00AB5A93">
      <w:pPr>
        <w:spacing w:line="360" w:lineRule="auto"/>
        <w:ind w:firstLineChars="200" w:firstLine="440"/>
        <w:jc w:val="both"/>
      </w:pPr>
      <w:r>
        <w:rPr>
          <w:rFonts w:hint="eastAsia"/>
        </w:rPr>
        <w:t>（3）</w:t>
      </w:r>
      <w:r>
        <w:t>基金无法按时支付证券清算款的责任认定及处理程序</w:t>
      </w:r>
    </w:p>
    <w:p w:rsidR="00B43A95" w:rsidRDefault="00AB5A93">
      <w:pPr>
        <w:spacing w:line="360" w:lineRule="auto"/>
        <w:ind w:firstLineChars="200" w:firstLine="440"/>
        <w:jc w:val="both"/>
      </w:pPr>
      <w:r>
        <w:t>基金管理人应确保基金托管人在执行基金管理人发送的指令时，有足够的头寸进行交收。基金的资金头寸不足时，基金托管人有权拒绝基金管理人发送的划款指令但应及时通知基金管理人。基金管理人在发送划款指令时应充分考虑基金托管人的划款处理时间。如由于基金管理人的原因导致无法按时支付证券清算款，由此给基金造成的损失由基金管理人承担。</w:t>
      </w:r>
    </w:p>
    <w:p w:rsidR="00B43A95" w:rsidRDefault="00AB5A93">
      <w:pPr>
        <w:spacing w:line="360" w:lineRule="auto"/>
        <w:ind w:firstLineChars="200" w:firstLine="440"/>
        <w:jc w:val="both"/>
      </w:pPr>
      <w:r>
        <w:t>在基金资金头寸充足的情况下，基金托管人对基金管理人符合法律法规、基金合同、基金托管协议的指令不得拖延或拒绝执行。如由于基金托管人的原因导致基金无法按时支</w:t>
      </w:r>
      <w:r>
        <w:lastRenderedPageBreak/>
        <w:t>付证券清算款，由此给基金造成的损失由基金托管人承担。</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2</w:t>
      </w:r>
      <w:r>
        <w:rPr>
          <w:rFonts w:ascii="Times New Roman" w:hAnsi="Times New Roman" w:cs="Times New Roman" w:hint="eastAsia"/>
          <w:spacing w:val="-4"/>
          <w:sz w:val="21"/>
          <w:szCs w:val="21"/>
        </w:rPr>
        <w:t>、交易记录、资金和证券账目核对的时间和方式</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w:t>
      </w:r>
      <w:r>
        <w:rPr>
          <w:rFonts w:ascii="Times New Roman" w:hAnsi="Times New Roman" w:cs="Times New Roman"/>
          <w:spacing w:val="-4"/>
          <w:sz w:val="21"/>
          <w:szCs w:val="21"/>
        </w:rPr>
        <w:t>1</w:t>
      </w:r>
      <w:r>
        <w:rPr>
          <w:rFonts w:ascii="Times New Roman" w:hAnsi="Times New Roman" w:cs="Times New Roman" w:hint="eastAsia"/>
          <w:spacing w:val="-4"/>
          <w:sz w:val="21"/>
          <w:szCs w:val="21"/>
        </w:rPr>
        <w:t>）交易记录的核对</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基金管理人和基金托管人按日进行交易记录的核对。每个估值日对外披露基金份额净值之前，必须保证当天所有实际交易记录与基金会计账簿上的交易记录完全一致。如果实际交易记录与会计账簿记录不一致，造成基金会计核算不完整或不真实，由此给基金造成的损失由基金管理人、基金托管人按照过错程度相应承担。</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w:t>
      </w:r>
      <w:r>
        <w:rPr>
          <w:rFonts w:ascii="Times New Roman" w:hAnsi="Times New Roman" w:cs="Times New Roman"/>
          <w:spacing w:val="-4"/>
          <w:sz w:val="21"/>
          <w:szCs w:val="21"/>
        </w:rPr>
        <w:t>2</w:t>
      </w:r>
      <w:r>
        <w:rPr>
          <w:rFonts w:ascii="Times New Roman" w:hAnsi="Times New Roman" w:cs="Times New Roman" w:hint="eastAsia"/>
          <w:spacing w:val="-4"/>
          <w:sz w:val="21"/>
          <w:szCs w:val="21"/>
        </w:rPr>
        <w:t>）资金账目的核对</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资金账目由基金管理人与基金托管人按日核实，账实相符。</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w:t>
      </w:r>
      <w:r>
        <w:rPr>
          <w:rFonts w:ascii="Times New Roman" w:hAnsi="Times New Roman" w:cs="Times New Roman"/>
          <w:spacing w:val="-4"/>
          <w:sz w:val="21"/>
          <w:szCs w:val="21"/>
        </w:rPr>
        <w:t>3</w:t>
      </w:r>
      <w:r>
        <w:rPr>
          <w:rFonts w:ascii="Times New Roman" w:hAnsi="Times New Roman" w:cs="Times New Roman" w:hint="eastAsia"/>
          <w:spacing w:val="-4"/>
          <w:sz w:val="21"/>
          <w:szCs w:val="21"/>
        </w:rPr>
        <w:t>）证券</w:t>
      </w:r>
      <w:r>
        <w:rPr>
          <w:rFonts w:ascii="Times New Roman" w:hAnsi="Times New Roman" w:cs="Times New Roman"/>
          <w:spacing w:val="-4"/>
          <w:sz w:val="21"/>
          <w:szCs w:val="21"/>
        </w:rPr>
        <w:t>/</w:t>
      </w:r>
      <w:r>
        <w:rPr>
          <w:rFonts w:ascii="Times New Roman" w:hAnsi="Times New Roman" w:cs="Times New Roman" w:hint="eastAsia"/>
          <w:spacing w:val="-4"/>
          <w:sz w:val="21"/>
          <w:szCs w:val="21"/>
        </w:rPr>
        <w:t>期货账目的核对</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基金管理人和基金托管人每个交易日结束后核对基金证券</w:t>
      </w:r>
      <w:r>
        <w:rPr>
          <w:rFonts w:ascii="Times New Roman" w:hAnsi="Times New Roman" w:cs="Times New Roman"/>
          <w:spacing w:val="-4"/>
          <w:sz w:val="21"/>
          <w:szCs w:val="21"/>
        </w:rPr>
        <w:t>/</w:t>
      </w:r>
      <w:r>
        <w:rPr>
          <w:rFonts w:ascii="Times New Roman" w:hAnsi="Times New Roman" w:cs="Times New Roman" w:hint="eastAsia"/>
          <w:spacing w:val="-4"/>
          <w:sz w:val="21"/>
          <w:szCs w:val="21"/>
        </w:rPr>
        <w:t>期货账目，确保双方账目相符。</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w:t>
      </w:r>
      <w:r>
        <w:rPr>
          <w:rFonts w:ascii="Times New Roman" w:hAnsi="Times New Roman" w:cs="Times New Roman"/>
          <w:spacing w:val="-4"/>
          <w:sz w:val="21"/>
          <w:szCs w:val="21"/>
        </w:rPr>
        <w:t>4</w:t>
      </w:r>
      <w:r>
        <w:rPr>
          <w:rFonts w:ascii="Times New Roman" w:hAnsi="Times New Roman" w:cs="Times New Roman" w:hint="eastAsia"/>
          <w:spacing w:val="-4"/>
          <w:sz w:val="21"/>
          <w:szCs w:val="21"/>
        </w:rPr>
        <w:t>）实物券账目</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实物券账目，每月月末相关各方进行账实核对。</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（三）开放式基金申购、赎回和基金转换的资金清算</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1</w:t>
      </w:r>
      <w:r>
        <w:rPr>
          <w:rFonts w:ascii="Times New Roman" w:hAnsi="Times New Roman" w:cs="Times New Roman" w:hint="eastAsia"/>
          <w:spacing w:val="-4"/>
          <w:sz w:val="21"/>
          <w:szCs w:val="21"/>
        </w:rPr>
        <w:t>、基金份额申购、赎回的确认、清算由基金管理人或其委托的登记机构负责。</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2</w:t>
      </w:r>
      <w:r>
        <w:rPr>
          <w:rFonts w:ascii="Times New Roman" w:hAnsi="Times New Roman" w:cs="Times New Roman" w:hint="eastAsia"/>
          <w:spacing w:val="-4"/>
          <w:sz w:val="21"/>
          <w:szCs w:val="21"/>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3</w:t>
      </w:r>
      <w:r>
        <w:rPr>
          <w:rFonts w:ascii="Times New Roman" w:hAnsi="Times New Roman" w:cs="Times New Roman" w:hint="eastAsia"/>
          <w:spacing w:val="-4"/>
          <w:sz w:val="21"/>
          <w:szCs w:val="21"/>
        </w:rPr>
        <w:t>、基金管理人应保证本基金管理人或本基金管理人委托的登记机构每个工作日</w:t>
      </w:r>
      <w:r>
        <w:rPr>
          <w:rFonts w:ascii="Times New Roman" w:hAnsi="Times New Roman" w:cs="Times New Roman"/>
          <w:spacing w:val="-4"/>
          <w:sz w:val="21"/>
          <w:szCs w:val="21"/>
        </w:rPr>
        <w:t>15:00</w:t>
      </w:r>
      <w:r>
        <w:rPr>
          <w:rFonts w:ascii="Times New Roman" w:hAnsi="Times New Roman" w:cs="Times New Roman" w:hint="eastAsia"/>
          <w:spacing w:val="-4"/>
          <w:sz w:val="21"/>
          <w:szCs w:val="21"/>
        </w:rPr>
        <w:t>前向基金托管人发送前一开放日上述有关数据，并保证相关数据的准确、完整。</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4</w:t>
      </w:r>
      <w:r>
        <w:rPr>
          <w:rFonts w:ascii="Times New Roman" w:hAnsi="Times New Roman" w:cs="Times New Roman" w:hint="eastAsia"/>
          <w:spacing w:val="-4"/>
          <w:sz w:val="21"/>
          <w:szCs w:val="21"/>
        </w:rPr>
        <w:t>、基金管理人或本基金管理人委托的登记机构应通过与基金托管人建立的系统发送有关数据</w:t>
      </w:r>
      <w:r>
        <w:rPr>
          <w:rFonts w:ascii="Times New Roman" w:hAnsi="Times New Roman" w:cs="Times New Roman"/>
          <w:spacing w:val="-4"/>
          <w:sz w:val="21"/>
          <w:szCs w:val="21"/>
        </w:rPr>
        <w:t>(</w:t>
      </w:r>
      <w:r>
        <w:rPr>
          <w:rFonts w:ascii="Times New Roman" w:hAnsi="Times New Roman" w:cs="Times New Roman" w:hint="eastAsia"/>
          <w:spacing w:val="-4"/>
          <w:sz w:val="21"/>
          <w:szCs w:val="21"/>
        </w:rPr>
        <w:t>包括电子数据和盖章生效的纸制清算汇总表</w:t>
      </w:r>
      <w:r>
        <w:rPr>
          <w:rFonts w:ascii="Times New Roman" w:hAnsi="Times New Roman" w:cs="Times New Roman"/>
          <w:spacing w:val="-4"/>
          <w:sz w:val="21"/>
          <w:szCs w:val="21"/>
        </w:rPr>
        <w:t>)</w:t>
      </w:r>
      <w:r>
        <w:rPr>
          <w:rFonts w:ascii="Times New Roman" w:hAnsi="Times New Roman" w:cs="Times New Roman" w:hint="eastAsia"/>
          <w:spacing w:val="-4"/>
          <w:sz w:val="21"/>
          <w:szCs w:val="21"/>
        </w:rPr>
        <w:t>，并各自按有关规定保存。如因各种原因，该系统无法正常发送，双方可协商解决处理方式。</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5</w:t>
      </w:r>
      <w:r>
        <w:rPr>
          <w:rFonts w:ascii="Times New Roman" w:hAnsi="Times New Roman" w:cs="Times New Roman" w:hint="eastAsia"/>
          <w:spacing w:val="-4"/>
          <w:sz w:val="21"/>
          <w:szCs w:val="21"/>
        </w:rPr>
        <w:t>、如基金管理人委托其他机构办理本基金的注册登记业务，应保证上述相关事宜按时进行。否则，由基金管理人承担相应的责任。</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6</w:t>
      </w:r>
      <w:r>
        <w:rPr>
          <w:rFonts w:ascii="Times New Roman" w:hAnsi="Times New Roman" w:cs="Times New Roman" w:hint="eastAsia"/>
          <w:spacing w:val="-4"/>
          <w:sz w:val="21"/>
          <w:szCs w:val="21"/>
        </w:rPr>
        <w:t>、关于清算专用账户的设立</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为满足申购、赎回及分红资金汇划的需要，由基金管理人开立资金清算的专用账户（即基金清算账户），该账户由登记机构管理。</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7</w:t>
      </w:r>
      <w:r>
        <w:rPr>
          <w:rFonts w:ascii="Times New Roman" w:hAnsi="Times New Roman" w:cs="Times New Roman" w:hint="eastAsia"/>
          <w:spacing w:val="-4"/>
          <w:sz w:val="21"/>
          <w:szCs w:val="21"/>
        </w:rPr>
        <w:t>、对于基金申购过程中产生的应收款，应由基金管理人负责与有关当事人确定到账日期并通知基金托管人，到账日应收款没有到达基金托管账户的，基金托管人应及时通知基金管理人采取措施进行催收，由此造成基金损失的，基金管理人应负责向有关当事人追偿基金的损失，基金</w:t>
      </w:r>
      <w:r>
        <w:rPr>
          <w:rFonts w:ascii="Times New Roman" w:hAnsi="Times New Roman" w:cs="Times New Roman" w:hint="eastAsia"/>
          <w:spacing w:val="-4"/>
          <w:sz w:val="21"/>
          <w:szCs w:val="21"/>
        </w:rPr>
        <w:lastRenderedPageBreak/>
        <w:t>托管人应予以必要的协助与配合。</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8</w:t>
      </w:r>
      <w:r>
        <w:rPr>
          <w:rFonts w:ascii="Times New Roman" w:hAnsi="Times New Roman" w:cs="Times New Roman" w:hint="eastAsia"/>
          <w:spacing w:val="-4"/>
          <w:sz w:val="21"/>
          <w:szCs w:val="21"/>
        </w:rPr>
        <w:t>、赎回和分红资金划拨规定</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拨付赎回款或进行基金分红时，如基金托管账户有足够的资金，基金托管人应按时拨付；因基金托管账户没有足够的资金，导致基金托管人不能按时拨付，基金托管人应及时通知基金管理人，如系基金管理人的原因造成，责任由基金管理人承担，基金托管人不承担垫款义务。</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9</w:t>
      </w:r>
      <w:r>
        <w:rPr>
          <w:rFonts w:ascii="Times New Roman" w:hAnsi="Times New Roman" w:cs="Times New Roman" w:hint="eastAsia"/>
          <w:spacing w:val="-4"/>
          <w:sz w:val="21"/>
          <w:szCs w:val="21"/>
        </w:rPr>
        <w:t>、资金指令</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除申购款项到达基金托管账户需双方按约定方式对账外，回购到期付款和与投资有关的付款、赎回和分红资金划拨时，基金管理人需向基金托管人下达指令。</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资金指令的格式、内容、发送、接收和确认方式等与投资指令相同。</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（四）申赎净额结算</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有关本基金</w:t>
      </w:r>
      <w:r>
        <w:rPr>
          <w:rFonts w:ascii="Times New Roman" w:hAnsi="Times New Roman" w:cs="Times New Roman" w:hint="eastAsia"/>
          <w:spacing w:val="-4"/>
          <w:sz w:val="21"/>
          <w:szCs w:val="21"/>
          <w:lang w:val="en-US"/>
        </w:rPr>
        <w:t>申购</w:t>
      </w:r>
      <w:r>
        <w:rPr>
          <w:rFonts w:ascii="Times New Roman" w:hAnsi="Times New Roman" w:cs="Times New Roman" w:hint="eastAsia"/>
          <w:spacing w:val="-4"/>
          <w:sz w:val="21"/>
          <w:szCs w:val="21"/>
        </w:rPr>
        <w:t>和赎回清算业务的具体处理程序，按照上海证券交易所和中国证券登记结算有限责任公司的相关规定执行。</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（五）投资银行存款的特别约定</w:t>
      </w:r>
    </w:p>
    <w:p w:rsidR="00B43A95" w:rsidRDefault="00AB5A93">
      <w:pPr>
        <w:spacing w:line="360" w:lineRule="auto"/>
        <w:ind w:firstLineChars="240" w:firstLine="494"/>
        <w:jc w:val="both"/>
        <w:rPr>
          <w:rFonts w:ascii="Times New Roman" w:hAnsi="Times New Roman" w:cs="Times New Roman"/>
          <w:spacing w:val="-4"/>
          <w:sz w:val="21"/>
          <w:szCs w:val="21"/>
        </w:rPr>
      </w:pPr>
      <w:r>
        <w:rPr>
          <w:rFonts w:ascii="Times New Roman" w:hAnsi="Times New Roman" w:cs="Times New Roman"/>
          <w:spacing w:val="-4"/>
          <w:sz w:val="21"/>
          <w:szCs w:val="21"/>
        </w:rPr>
        <w:t>1</w:t>
      </w:r>
      <w:r>
        <w:rPr>
          <w:rFonts w:ascii="Times New Roman" w:hAnsi="Times New Roman" w:cs="Times New Roman" w:hint="eastAsia"/>
          <w:spacing w:val="-4"/>
          <w:sz w:val="21"/>
          <w:szCs w:val="21"/>
        </w:rPr>
        <w:t>、本基金投资银行存款前，基金管理人应与存款银行签订具体存款协议，包括但不限于以下内容：</w:t>
      </w:r>
    </w:p>
    <w:p w:rsidR="00B43A95" w:rsidRDefault="00AB5A93">
      <w:pPr>
        <w:tabs>
          <w:tab w:val="left" w:pos="993"/>
        </w:tabs>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w:t>
      </w:r>
      <w:r>
        <w:rPr>
          <w:rFonts w:ascii="Times New Roman" w:hAnsi="Times New Roman" w:cs="Times New Roman"/>
          <w:spacing w:val="-4"/>
          <w:sz w:val="21"/>
          <w:szCs w:val="21"/>
        </w:rPr>
        <w:t>1</w:t>
      </w:r>
      <w:r>
        <w:rPr>
          <w:rFonts w:ascii="Times New Roman" w:hAnsi="Times New Roman" w:cs="Times New Roman" w:hint="eastAsia"/>
          <w:spacing w:val="-4"/>
          <w:sz w:val="21"/>
          <w:szCs w:val="21"/>
        </w:rPr>
        <w:t>）存款账户必须以本基金名义开立</w:t>
      </w:r>
      <w:r>
        <w:rPr>
          <w:rFonts w:ascii="Times New Roman" w:hAnsi="Times New Roman" w:cs="Times New Roman"/>
          <w:spacing w:val="-4"/>
          <w:sz w:val="21"/>
          <w:szCs w:val="21"/>
        </w:rPr>
        <w:t>，</w:t>
      </w:r>
      <w:r>
        <w:rPr>
          <w:rFonts w:ascii="Times New Roman" w:hAnsi="Times New Roman" w:cs="Times New Roman" w:hint="eastAsia"/>
          <w:spacing w:val="-4"/>
          <w:sz w:val="21"/>
          <w:szCs w:val="21"/>
        </w:rPr>
        <w:t>并将基金托管人为本基金开立的基金银行账户指定为唯一回款账户，任何情况下，存款银行都不得将存款投资本息划往任何其他账户。</w:t>
      </w:r>
    </w:p>
    <w:p w:rsidR="00B43A95" w:rsidRDefault="00AB5A93">
      <w:pPr>
        <w:tabs>
          <w:tab w:val="left" w:pos="993"/>
        </w:tabs>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w:t>
      </w:r>
      <w:r>
        <w:rPr>
          <w:rFonts w:ascii="Times New Roman" w:hAnsi="Times New Roman" w:cs="Times New Roman"/>
          <w:spacing w:val="-4"/>
          <w:sz w:val="21"/>
          <w:szCs w:val="21"/>
        </w:rPr>
        <w:t>2</w:t>
      </w:r>
      <w:r>
        <w:rPr>
          <w:rFonts w:ascii="Times New Roman" w:hAnsi="Times New Roman" w:cs="Times New Roman" w:hint="eastAsia"/>
          <w:spacing w:val="-4"/>
          <w:sz w:val="21"/>
          <w:szCs w:val="21"/>
        </w:rPr>
        <w:t>）存款银行不得接受基金管理人或基金托管人任何一方单方面提出的对存款进行更名、转让、挂失、质押、担保、撤销、变更印鉴及回款账户信息等可能导致财产转移的操作申请。</w:t>
      </w:r>
    </w:p>
    <w:p w:rsidR="00B43A95" w:rsidRDefault="00AB5A93">
      <w:pPr>
        <w:tabs>
          <w:tab w:val="left" w:pos="993"/>
        </w:tabs>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w:t>
      </w:r>
      <w:r>
        <w:rPr>
          <w:rFonts w:ascii="Times New Roman" w:hAnsi="Times New Roman" w:cs="Times New Roman"/>
          <w:spacing w:val="-4"/>
          <w:sz w:val="21"/>
          <w:szCs w:val="21"/>
        </w:rPr>
        <w:t>3</w:t>
      </w:r>
      <w:r>
        <w:rPr>
          <w:rFonts w:ascii="Times New Roman" w:hAnsi="Times New Roman" w:cs="Times New Roman" w:hint="eastAsia"/>
          <w:spacing w:val="-4"/>
          <w:sz w:val="21"/>
          <w:szCs w:val="21"/>
        </w:rPr>
        <w:t>）约定存款证实书的具体传递交接方式及交接期限。</w:t>
      </w:r>
    </w:p>
    <w:p w:rsidR="00B43A95" w:rsidRDefault="00AB5A93">
      <w:pPr>
        <w:tabs>
          <w:tab w:val="left" w:pos="993"/>
        </w:tabs>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w:t>
      </w:r>
      <w:r>
        <w:rPr>
          <w:rFonts w:ascii="Times New Roman" w:hAnsi="Times New Roman" w:cs="Times New Roman"/>
          <w:spacing w:val="-4"/>
          <w:sz w:val="21"/>
          <w:szCs w:val="21"/>
        </w:rPr>
        <w:t>4</w:t>
      </w:r>
      <w:r>
        <w:rPr>
          <w:rFonts w:ascii="Times New Roman" w:hAnsi="Times New Roman" w:cs="Times New Roman" w:hint="eastAsia"/>
          <w:spacing w:val="-4"/>
          <w:sz w:val="21"/>
          <w:szCs w:val="21"/>
        </w:rPr>
        <w:t>）资金划转过程中需要使用存款银行过渡账户的，存款银行须保证资金在过渡账户中不出现滞留，不被挪用。</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2</w:t>
      </w:r>
      <w:r>
        <w:rPr>
          <w:rFonts w:ascii="Times New Roman" w:hAnsi="Times New Roman" w:cs="Times New Roman" w:hint="eastAsia"/>
          <w:spacing w:val="-4"/>
          <w:sz w:val="21"/>
          <w:szCs w:val="21"/>
        </w:rPr>
        <w:t>、本基金投资银行存款，必须采用双方认可的方式办理。托管人负责依据管理人提供的银行存款投资合同</w:t>
      </w:r>
      <w:r>
        <w:rPr>
          <w:rFonts w:ascii="Times New Roman" w:hAnsi="Times New Roman" w:cs="Times New Roman"/>
          <w:spacing w:val="-4"/>
          <w:sz w:val="21"/>
          <w:szCs w:val="21"/>
        </w:rPr>
        <w:t>/</w:t>
      </w:r>
      <w:r>
        <w:rPr>
          <w:rFonts w:ascii="Times New Roman" w:hAnsi="Times New Roman" w:cs="Times New Roman" w:hint="eastAsia"/>
          <w:spacing w:val="-4"/>
          <w:sz w:val="21"/>
          <w:szCs w:val="21"/>
        </w:rPr>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3</w:t>
      </w:r>
      <w:r>
        <w:rPr>
          <w:rFonts w:ascii="Times New Roman" w:hAnsi="Times New Roman" w:cs="Times New Roman" w:hint="eastAsia"/>
          <w:spacing w:val="-4"/>
          <w:sz w:val="21"/>
          <w:szCs w:val="21"/>
        </w:rPr>
        <w:t>、基金管理人投资银行存款或办理存款支取时，应提前书面通知基金托管人，以便基金托管人有足够的时间履行相应的业务操作程序。</w:t>
      </w:r>
    </w:p>
    <w:p w:rsidR="00B43A95" w:rsidRDefault="00AB5A93">
      <w:pPr>
        <w:pStyle w:val="1"/>
        <w:spacing w:before="100" w:beforeAutospacing="1" w:after="100" w:afterAutospacing="1"/>
        <w:ind w:left="0"/>
        <w:jc w:val="center"/>
        <w:rPr>
          <w:rFonts w:ascii="Times New Roman" w:eastAsia="宋体" w:hAnsi="Times New Roman" w:cs="Times New Roman"/>
          <w:bCs w:val="0"/>
          <w:color w:val="000000" w:themeColor="text1"/>
          <w:kern w:val="2"/>
          <w:sz w:val="21"/>
          <w:szCs w:val="21"/>
          <w:lang w:val="en-US" w:bidi="ar-SA"/>
        </w:rPr>
      </w:pPr>
      <w:bookmarkStart w:id="8" w:name="_Toc516502493"/>
      <w:r>
        <w:rPr>
          <w:rFonts w:ascii="Times New Roman" w:eastAsia="宋体" w:hAnsi="Times New Roman" w:cs="Times New Roman" w:hint="eastAsia"/>
          <w:bCs w:val="0"/>
          <w:color w:val="000000" w:themeColor="text1"/>
          <w:kern w:val="2"/>
          <w:sz w:val="21"/>
          <w:szCs w:val="21"/>
          <w:lang w:val="en-US" w:bidi="ar-SA"/>
        </w:rPr>
        <w:t>八、基金资产净值计算和会计核算</w:t>
      </w:r>
      <w:bookmarkEnd w:id="8"/>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（一）基金资产净值的计算及复核程序</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lastRenderedPageBreak/>
        <w:t>1</w:t>
      </w:r>
      <w:r>
        <w:rPr>
          <w:rFonts w:ascii="Times New Roman" w:hAnsi="Times New Roman" w:cs="Times New Roman" w:hint="eastAsia"/>
          <w:spacing w:val="-4"/>
          <w:sz w:val="21"/>
          <w:szCs w:val="21"/>
        </w:rPr>
        <w:t>、基金资产净值</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基金资产净值是指基金资产总值减去基金负债后的价值。</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基金份额净值是按照每个工作日闭市后，基金资产净值除以当日基金份额数量计算，均精确到</w:t>
      </w:r>
      <w:r>
        <w:rPr>
          <w:rFonts w:ascii="Times New Roman" w:hAnsi="Times New Roman" w:cs="Times New Roman"/>
          <w:spacing w:val="-4"/>
          <w:sz w:val="21"/>
          <w:szCs w:val="21"/>
        </w:rPr>
        <w:t xml:space="preserve"> 0.0001</w:t>
      </w:r>
      <w:r>
        <w:rPr>
          <w:rFonts w:ascii="Times New Roman" w:hAnsi="Times New Roman" w:cs="Times New Roman" w:hint="eastAsia"/>
          <w:spacing w:val="-4"/>
          <w:sz w:val="21"/>
          <w:szCs w:val="21"/>
        </w:rPr>
        <w:t>元，小数点后第</w:t>
      </w:r>
      <w:r>
        <w:rPr>
          <w:rFonts w:ascii="Times New Roman" w:hAnsi="Times New Roman" w:cs="Times New Roman"/>
          <w:spacing w:val="-4"/>
          <w:sz w:val="21"/>
          <w:szCs w:val="21"/>
        </w:rPr>
        <w:t>5</w:t>
      </w:r>
      <w:r>
        <w:rPr>
          <w:rFonts w:ascii="Times New Roman" w:hAnsi="Times New Roman" w:cs="Times New Roman" w:hint="eastAsia"/>
          <w:spacing w:val="-4"/>
          <w:sz w:val="21"/>
          <w:szCs w:val="21"/>
        </w:rPr>
        <w:t>位四舍五入，由此产生的误差计入基金财产。基金管理人可以设立大额赎回情形下的净值精度应急调整机制。国家另有规定的，从其规定。</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基金管理人每个工作日计算基金资产净值及基金份额净值，并按规定公告。</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2</w:t>
      </w:r>
      <w:r>
        <w:rPr>
          <w:rFonts w:ascii="Times New Roman" w:hAnsi="Times New Roman" w:cs="Times New Roman" w:hint="eastAsia"/>
          <w:spacing w:val="-4"/>
          <w:sz w:val="21"/>
          <w:szCs w:val="21"/>
        </w:rPr>
        <w:t>、复核程序</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基金管理人每个工作日对基金资产进行估值后，将基金份额净值结果发送基金托管人，经基金托管人复核无误后，由基金管理人依据《基金合同》和相关法律法规的规定对外公布。</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（二）基金资产估值方法和特殊情形的处理</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1</w:t>
      </w:r>
      <w:r>
        <w:rPr>
          <w:rFonts w:ascii="Times New Roman" w:hAnsi="Times New Roman" w:cs="Times New Roman" w:hint="eastAsia"/>
          <w:spacing w:val="-4"/>
          <w:sz w:val="21"/>
          <w:szCs w:val="21"/>
        </w:rPr>
        <w:t>、估值对象</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基金所拥有的债券、期货合约、信用衍生品和银行存款本息、应收款项、其它投资等资产及负债。</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2</w:t>
      </w:r>
      <w:r>
        <w:rPr>
          <w:rFonts w:ascii="Times New Roman" w:hAnsi="Times New Roman" w:cs="Times New Roman" w:hint="eastAsia"/>
          <w:spacing w:val="-4"/>
          <w:sz w:val="21"/>
          <w:szCs w:val="21"/>
        </w:rPr>
        <w:t>、估值方法</w:t>
      </w:r>
    </w:p>
    <w:p w:rsidR="00B43A95" w:rsidRDefault="00AB5A93">
      <w:pPr>
        <w:spacing w:line="360" w:lineRule="auto"/>
        <w:ind w:firstLineChars="200" w:firstLine="420"/>
        <w:jc w:val="both"/>
        <w:rPr>
          <w:rFonts w:ascii="Times New Roman" w:hAnsi="Times New Roman" w:cs="Times New Roman"/>
          <w:spacing w:val="-4"/>
          <w:sz w:val="21"/>
          <w:szCs w:val="21"/>
        </w:rPr>
      </w:pPr>
      <w:r>
        <w:rPr>
          <w:rFonts w:ascii="Times New Roman" w:hAnsi="Times New Roman" w:cs="Times New Roman" w:hint="eastAsia"/>
          <w:sz w:val="21"/>
          <w:szCs w:val="21"/>
        </w:rPr>
        <w:t>基金管理人与基金托管人应按照《基金合同》约定的估值方法进行估值。</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3</w:t>
      </w:r>
      <w:r>
        <w:rPr>
          <w:rFonts w:ascii="Times New Roman" w:hAnsi="Times New Roman" w:cs="Times New Roman" w:hint="eastAsia"/>
          <w:spacing w:val="-4"/>
          <w:sz w:val="21"/>
          <w:szCs w:val="21"/>
        </w:rPr>
        <w:t>、特殊情形的处理</w:t>
      </w:r>
    </w:p>
    <w:p w:rsidR="00B43A95" w:rsidRDefault="00AB5A93">
      <w:pPr>
        <w:adjustRightInd w:val="0"/>
        <w:snapToGrid w:val="0"/>
        <w:spacing w:line="360" w:lineRule="auto"/>
        <w:ind w:firstLineChars="200" w:firstLine="420"/>
        <w:jc w:val="both"/>
        <w:rPr>
          <w:rFonts w:ascii="Times New Roman" w:hAnsi="Times New Roman" w:cs="Times New Roman"/>
          <w:spacing w:val="-4"/>
          <w:sz w:val="21"/>
          <w:szCs w:val="21"/>
        </w:rPr>
      </w:pPr>
      <w:r>
        <w:rPr>
          <w:rStyle w:val="read"/>
          <w:rFonts w:ascii="Times New Roman" w:hAnsi="Times New Roman" w:cs="Times New Roman" w:hint="eastAsia"/>
          <w:color w:val="000000"/>
          <w:sz w:val="21"/>
          <w:szCs w:val="21"/>
        </w:rPr>
        <w:t>基金管理人与基金托管人应当按照《基金合同》的约定处理特殊情况。</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（三）基金份额净值错误的处理方式</w:t>
      </w:r>
    </w:p>
    <w:p w:rsidR="00B43A95" w:rsidRDefault="00AB5A93">
      <w:pPr>
        <w:adjustRightInd w:val="0"/>
        <w:snapToGrid w:val="0"/>
        <w:spacing w:line="360" w:lineRule="auto"/>
        <w:ind w:firstLineChars="200" w:firstLine="420"/>
        <w:jc w:val="both"/>
        <w:rPr>
          <w:rFonts w:ascii="Times New Roman" w:hAnsi="Times New Roman" w:cs="Times New Roman"/>
          <w:spacing w:val="-4"/>
          <w:sz w:val="21"/>
          <w:szCs w:val="21"/>
        </w:rPr>
      </w:pPr>
      <w:r>
        <w:rPr>
          <w:rFonts w:ascii="Times New Roman" w:hAnsi="Times New Roman" w:cs="Times New Roman" w:hint="eastAsia"/>
          <w:bCs/>
          <w:sz w:val="21"/>
          <w:szCs w:val="21"/>
        </w:rPr>
        <w:t>基金管理人与基金托管人应当按照《基金合同》的约定处理估值错误。</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（四）暂停估值的情形</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color w:val="000000"/>
          <w:sz w:val="21"/>
          <w:szCs w:val="21"/>
        </w:rPr>
        <w:t>1</w:t>
      </w:r>
      <w:r>
        <w:rPr>
          <w:rFonts w:ascii="Times New Roman" w:hAnsi="Times New Roman" w:cs="Times New Roman"/>
          <w:color w:val="000000"/>
          <w:sz w:val="21"/>
          <w:szCs w:val="21"/>
        </w:rPr>
        <w:t>、基金投资所涉及的证券</w:t>
      </w:r>
      <w:r>
        <w:rPr>
          <w:rFonts w:ascii="Times New Roman" w:hAnsi="Times New Roman" w:cs="Times New Roman"/>
          <w:color w:val="000000"/>
          <w:sz w:val="21"/>
          <w:szCs w:val="21"/>
        </w:rPr>
        <w:t>/</w:t>
      </w:r>
      <w:r>
        <w:rPr>
          <w:rFonts w:ascii="Times New Roman" w:hAnsi="Times New Roman" w:cs="Times New Roman"/>
          <w:color w:val="000000"/>
          <w:sz w:val="21"/>
          <w:szCs w:val="21"/>
        </w:rPr>
        <w:t>期货交易市场遇法定节假日或因其他原因暂停营业时；</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color w:val="000000"/>
          <w:sz w:val="21"/>
          <w:szCs w:val="21"/>
        </w:rPr>
        <w:t>2</w:t>
      </w:r>
      <w:r>
        <w:rPr>
          <w:rFonts w:ascii="Times New Roman" w:hAnsi="Times New Roman" w:cs="Times New Roman"/>
          <w:color w:val="000000"/>
          <w:sz w:val="21"/>
          <w:szCs w:val="21"/>
        </w:rPr>
        <w:t>、因不可抗力致使基金管理人、基金托管人无法准确评估基金资产价值时；</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color w:val="000000"/>
          <w:sz w:val="21"/>
          <w:szCs w:val="21"/>
        </w:rPr>
        <w:t>3</w:t>
      </w:r>
      <w:r>
        <w:rPr>
          <w:rFonts w:ascii="Times New Roman" w:hAnsi="Times New Roman" w:cs="Times New Roman"/>
          <w:color w:val="000000"/>
          <w:sz w:val="21"/>
          <w:szCs w:val="21"/>
        </w:rPr>
        <w:t>、当前一估值日基金资产净值</w:t>
      </w:r>
      <w:r>
        <w:rPr>
          <w:rFonts w:ascii="Times New Roman" w:hAnsi="Times New Roman" w:cs="Times New Roman"/>
          <w:color w:val="000000"/>
          <w:sz w:val="21"/>
          <w:szCs w:val="21"/>
        </w:rPr>
        <w:t xml:space="preserve"> 50%</w:t>
      </w:r>
      <w:r>
        <w:rPr>
          <w:rFonts w:ascii="Times New Roman" w:hAnsi="Times New Roman" w:cs="Times New Roman"/>
          <w:color w:val="000000"/>
          <w:sz w:val="21"/>
          <w:szCs w:val="21"/>
        </w:rPr>
        <w:t>以上的资产出现无可参考的活跃市场价格且采用估值技术仍导致公允价值存在重大不确定性时，经与基金托管人协商确认后，基金管理人应当暂停估值；</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color w:val="000000"/>
          <w:sz w:val="21"/>
          <w:szCs w:val="21"/>
        </w:rPr>
        <w:t>4</w:t>
      </w:r>
      <w:r>
        <w:rPr>
          <w:rFonts w:ascii="Times New Roman" w:hAnsi="Times New Roman" w:cs="Times New Roman"/>
          <w:color w:val="000000"/>
          <w:sz w:val="21"/>
          <w:szCs w:val="21"/>
        </w:rPr>
        <w:t>、中国证监会和基金合同认定的其它情形</w:t>
      </w:r>
      <w:r>
        <w:rPr>
          <w:rFonts w:ascii="Times New Roman" w:hAnsi="Times New Roman" w:cs="Times New Roman" w:hint="eastAsia"/>
          <w:color w:val="000000"/>
          <w:sz w:val="21"/>
          <w:szCs w:val="21"/>
        </w:rPr>
        <w:t>。</w:t>
      </w:r>
    </w:p>
    <w:p w:rsidR="00B43A95" w:rsidRDefault="00AB5A93" w:rsidP="00CD082F">
      <w:pPr>
        <w:adjustRightInd w:val="0"/>
        <w:snapToGrid w:val="0"/>
        <w:spacing w:line="360" w:lineRule="auto"/>
        <w:ind w:firstLineChars="200" w:firstLine="420"/>
        <w:jc w:val="both"/>
        <w:rPr>
          <w:rFonts w:ascii="Times New Roman" w:hAnsi="Times New Roman" w:cs="Times New Roman"/>
          <w:spacing w:val="-4"/>
          <w:sz w:val="21"/>
          <w:szCs w:val="21"/>
        </w:rPr>
      </w:pPr>
      <w:r>
        <w:rPr>
          <w:rFonts w:ascii="Times New Roman" w:hAnsi="Times New Roman" w:cs="Times New Roman" w:hint="eastAsia"/>
          <w:color w:val="000000"/>
          <w:sz w:val="21"/>
          <w:szCs w:val="21"/>
        </w:rPr>
        <w:t>（五）</w:t>
      </w:r>
      <w:r>
        <w:rPr>
          <w:rFonts w:ascii="Times New Roman" w:hAnsi="Times New Roman" w:cs="Times New Roman" w:hint="eastAsia"/>
          <w:spacing w:val="-4"/>
          <w:sz w:val="21"/>
          <w:szCs w:val="21"/>
        </w:rPr>
        <w:t>基金会计制度</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按国家有关部门规定的会计制度执行。</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（六）基金账册的建立</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基金管理人进行基金会计核算并编制基金财务会计报告。基金管理人、基金托管人独立地设置、记录和保管本基金的全套账册。若基金管理人和基金托管人对会计处理方法存在分歧，应以基金管理人的处理方法为准。若当日核对不符，暂时无法查找到错账的原因而影响到基金净值的</w:t>
      </w:r>
      <w:r>
        <w:rPr>
          <w:rFonts w:ascii="Times New Roman" w:hAnsi="Times New Roman" w:cs="Times New Roman" w:hint="eastAsia"/>
          <w:spacing w:val="-4"/>
          <w:sz w:val="21"/>
          <w:szCs w:val="21"/>
        </w:rPr>
        <w:lastRenderedPageBreak/>
        <w:t>计算和公告的，以基金管理人的账册为准。</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（七）基金财务报表与报告的编制和复核</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1</w:t>
      </w:r>
      <w:r>
        <w:rPr>
          <w:rFonts w:ascii="Times New Roman" w:hAnsi="Times New Roman" w:cs="Times New Roman" w:hint="eastAsia"/>
          <w:spacing w:val="-4"/>
          <w:sz w:val="21"/>
          <w:szCs w:val="21"/>
        </w:rPr>
        <w:t>、财务报表的编制</w:t>
      </w:r>
    </w:p>
    <w:p w:rsidR="00B43A95" w:rsidRDefault="00AB5A93">
      <w:pPr>
        <w:spacing w:line="360" w:lineRule="auto"/>
        <w:ind w:firstLineChars="200" w:firstLine="420"/>
        <w:jc w:val="both"/>
        <w:rPr>
          <w:rFonts w:ascii="Times New Roman" w:hAnsi="Times New Roman" w:cs="Times New Roman"/>
          <w:spacing w:val="-4"/>
          <w:sz w:val="21"/>
          <w:szCs w:val="21"/>
        </w:rPr>
      </w:pPr>
      <w:r>
        <w:rPr>
          <w:rFonts w:ascii="Times New Roman" w:hAnsi="Times New Roman" w:cs="Times New Roman" w:hint="eastAsia"/>
          <w:color w:val="000000"/>
          <w:sz w:val="21"/>
          <w:szCs w:val="21"/>
        </w:rPr>
        <w:t>基金管理人应当及时编制并对外提供真实、完整的基金财务会计报告。月度报表的编制，基金管理人应于每月终了后</w:t>
      </w:r>
      <w:r>
        <w:rPr>
          <w:rFonts w:ascii="Times New Roman" w:hAnsi="Times New Roman" w:cs="Times New Roman"/>
          <w:color w:val="000000"/>
          <w:sz w:val="21"/>
          <w:szCs w:val="21"/>
        </w:rPr>
        <w:t>5</w:t>
      </w:r>
      <w:r>
        <w:rPr>
          <w:rFonts w:ascii="Times New Roman" w:hAnsi="Times New Roman" w:cs="Times New Roman" w:hint="eastAsia"/>
          <w:color w:val="000000"/>
          <w:sz w:val="21"/>
          <w:szCs w:val="21"/>
        </w:rPr>
        <w:t>个工作日内完成。季度报告应在每个季度结束之日起</w:t>
      </w:r>
      <w:r>
        <w:rPr>
          <w:rFonts w:ascii="Times New Roman" w:hAnsi="Times New Roman" w:cs="Times New Roman"/>
          <w:color w:val="000000"/>
          <w:sz w:val="21"/>
          <w:szCs w:val="21"/>
        </w:rPr>
        <w:t>15</w:t>
      </w:r>
      <w:r>
        <w:rPr>
          <w:rFonts w:ascii="Times New Roman" w:hAnsi="Times New Roman" w:cs="Times New Roman" w:hint="eastAsia"/>
          <w:color w:val="000000"/>
          <w:sz w:val="21"/>
          <w:szCs w:val="21"/>
        </w:rPr>
        <w:t>个工作日内编制完毕并予以公告；中期报告在会计年度半年终了后两个月内编制完毕并予以公告；年度报告在会计年度结束后三个月内编制完毕并予以公告。基金年度报告中的财务会计报告应当经过符合《证券法》规定的会计师事务所审计。《基金合同》生效不足</w:t>
      </w:r>
      <w:r>
        <w:rPr>
          <w:rFonts w:ascii="Times New Roman" w:hAnsi="Times New Roman" w:cs="Times New Roman"/>
          <w:color w:val="000000"/>
          <w:sz w:val="21"/>
          <w:szCs w:val="21"/>
        </w:rPr>
        <w:t>2</w:t>
      </w:r>
      <w:r>
        <w:rPr>
          <w:rFonts w:ascii="Times New Roman" w:hAnsi="Times New Roman" w:cs="Times New Roman" w:hint="eastAsia"/>
          <w:color w:val="000000"/>
          <w:sz w:val="21"/>
          <w:szCs w:val="21"/>
        </w:rPr>
        <w:t>个月的，基金管理人可以不编制当期季度报告、中期报告或者年度报告。</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2</w:t>
      </w:r>
      <w:r>
        <w:rPr>
          <w:rFonts w:ascii="Times New Roman" w:hAnsi="Times New Roman" w:cs="Times New Roman" w:hint="eastAsia"/>
          <w:spacing w:val="-4"/>
          <w:sz w:val="21"/>
          <w:szCs w:val="21"/>
        </w:rPr>
        <w:t>、报表复核</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基金管理人在上述财务报表完成后，将报表提供给基金托管人复核，基金托管人应在收到后进行复核，并将复核结果书面通知基金管理人。基金管理人和基金托管人之间的上述文件往来均以邮件的方式或双方商定的其他方式进行。</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专用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（八）基金管理人应每季向基金托管人提供基金业绩比较基准的基础数据和编制结果。</w:t>
      </w:r>
    </w:p>
    <w:p w:rsidR="00B43A95" w:rsidRDefault="00AB5A93">
      <w:pPr>
        <w:pStyle w:val="1"/>
        <w:spacing w:before="100" w:beforeAutospacing="1" w:after="100" w:afterAutospacing="1"/>
        <w:ind w:left="0"/>
        <w:jc w:val="center"/>
        <w:rPr>
          <w:rFonts w:ascii="Times New Roman" w:eastAsia="宋体" w:hAnsi="Times New Roman" w:cs="Times New Roman"/>
          <w:bCs w:val="0"/>
          <w:color w:val="000000" w:themeColor="text1"/>
          <w:kern w:val="2"/>
          <w:sz w:val="21"/>
          <w:szCs w:val="21"/>
          <w:lang w:val="en-US" w:bidi="ar-SA"/>
        </w:rPr>
      </w:pPr>
      <w:bookmarkStart w:id="9" w:name="_Toc516502494"/>
      <w:r>
        <w:rPr>
          <w:rFonts w:ascii="Times New Roman" w:eastAsia="宋体" w:hAnsi="Times New Roman" w:cs="Times New Roman" w:hint="eastAsia"/>
          <w:bCs w:val="0"/>
          <w:color w:val="000000" w:themeColor="text1"/>
          <w:kern w:val="2"/>
          <w:sz w:val="21"/>
          <w:szCs w:val="21"/>
          <w:lang w:val="en-US" w:bidi="ar-SA"/>
        </w:rPr>
        <w:t>九、基金收益分配</w:t>
      </w:r>
      <w:bookmarkEnd w:id="9"/>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基金收益分配是指按规定将基金的可供分配利润按基金份额进行比例分配。</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（一）基金收益分配的原则</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基金收益分配应遵循下列原则：</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1</w:t>
      </w:r>
      <w:r>
        <w:rPr>
          <w:rFonts w:ascii="Times New Roman" w:hAnsi="Times New Roman" w:cs="Times New Roman"/>
          <w:spacing w:val="-4"/>
          <w:sz w:val="21"/>
          <w:szCs w:val="21"/>
        </w:rPr>
        <w:t>、在符合有关基金分红条件的前提下，基金管理人可依据基金相对业绩比较基准的超额收益率或基金的可供收益分配利润进行收益分配；</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2</w:t>
      </w:r>
      <w:r>
        <w:rPr>
          <w:rFonts w:ascii="Times New Roman" w:hAnsi="Times New Roman" w:cs="Times New Roman"/>
          <w:spacing w:val="-4"/>
          <w:sz w:val="21"/>
          <w:szCs w:val="21"/>
        </w:rPr>
        <w:t>、本基金的收益分配采取现金分红的方式；</w:t>
      </w:r>
      <w:r>
        <w:rPr>
          <w:rFonts w:ascii="Times New Roman" w:hAnsi="Times New Roman" w:cs="Times New Roman"/>
          <w:spacing w:val="-4"/>
          <w:sz w:val="21"/>
          <w:szCs w:val="21"/>
        </w:rPr>
        <w:t xml:space="preserve"> </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3</w:t>
      </w:r>
      <w:r>
        <w:rPr>
          <w:rFonts w:ascii="Times New Roman" w:hAnsi="Times New Roman" w:cs="Times New Roman"/>
          <w:spacing w:val="-4"/>
          <w:sz w:val="21"/>
          <w:szCs w:val="21"/>
        </w:rPr>
        <w:t>、若基金合同生效不满</w:t>
      </w:r>
      <w:r>
        <w:rPr>
          <w:rFonts w:ascii="Times New Roman" w:hAnsi="Times New Roman" w:cs="Times New Roman"/>
          <w:spacing w:val="-4"/>
          <w:sz w:val="21"/>
          <w:szCs w:val="21"/>
        </w:rPr>
        <w:t>3</w:t>
      </w:r>
      <w:r>
        <w:rPr>
          <w:rFonts w:ascii="Times New Roman" w:hAnsi="Times New Roman" w:cs="Times New Roman"/>
          <w:spacing w:val="-4"/>
          <w:sz w:val="21"/>
          <w:szCs w:val="21"/>
        </w:rPr>
        <w:t>个月，本基金可不进行收益分配；</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4</w:t>
      </w:r>
      <w:r>
        <w:rPr>
          <w:rFonts w:ascii="Times New Roman" w:hAnsi="Times New Roman" w:cs="Times New Roman"/>
          <w:spacing w:val="-4"/>
          <w:sz w:val="21"/>
          <w:szCs w:val="21"/>
        </w:rPr>
        <w:t>、每一基金份额享有同等分配权；</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5</w:t>
      </w:r>
      <w:r>
        <w:rPr>
          <w:rFonts w:ascii="Times New Roman" w:hAnsi="Times New Roman" w:cs="Times New Roman"/>
          <w:spacing w:val="-4"/>
          <w:sz w:val="21"/>
          <w:szCs w:val="21"/>
        </w:rPr>
        <w:t>、法律法规或监管机关另有规定的，从其规定。</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lastRenderedPageBreak/>
        <w:t>在不违反法律法规的规定且对基金份额持有人利益无实质不利影响的前提下，基金管理人在与基金托管人协商一致并按照监管部门要求履行适当程序后，可对上述基金收益分配原则进行调整并提前公告，无需召开基金份额持有人大会。</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（二）基金收益分配方案的确定、公告与实施</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基金收益分配方案中应载明截至收益分配基准日的可供分配利润、基金收益分配对象、分配时间、分配数额、分配方式等内容。</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本基金收益分配方案由基金管理人拟定，并由基金托管人复核，依照《信息披露办法》的有关规定在规定媒介公告。</w:t>
      </w:r>
    </w:p>
    <w:p w:rsidR="00B43A95" w:rsidRDefault="00AB5A93">
      <w:pPr>
        <w:spacing w:line="360" w:lineRule="auto"/>
        <w:ind w:firstLineChars="225" w:firstLine="473"/>
        <w:jc w:val="both"/>
        <w:rPr>
          <w:rFonts w:ascii="Times New Roman" w:hAnsi="Times New Roman" w:cs="Times New Roman"/>
          <w:bCs/>
          <w:sz w:val="21"/>
          <w:szCs w:val="21"/>
        </w:rPr>
      </w:pPr>
      <w:r>
        <w:rPr>
          <w:rFonts w:ascii="Times New Roman" w:hAnsi="Times New Roman" w:cs="Times New Roman" w:hint="eastAsia"/>
          <w:bCs/>
          <w:sz w:val="21"/>
          <w:szCs w:val="21"/>
        </w:rPr>
        <w:t>（三）基金收益分配中发生的费用</w:t>
      </w:r>
    </w:p>
    <w:p w:rsidR="00B43A95" w:rsidRDefault="00AB5A93">
      <w:pPr>
        <w:spacing w:line="360" w:lineRule="auto"/>
        <w:ind w:firstLineChars="225" w:firstLine="473"/>
        <w:jc w:val="both"/>
        <w:rPr>
          <w:rFonts w:ascii="Times New Roman" w:hAnsi="Times New Roman" w:cs="Times New Roman"/>
          <w:bCs/>
          <w:sz w:val="21"/>
          <w:szCs w:val="21"/>
        </w:rPr>
      </w:pPr>
      <w:r>
        <w:rPr>
          <w:rFonts w:ascii="Times New Roman" w:hAnsi="Times New Roman" w:cs="Times New Roman" w:hint="eastAsia"/>
          <w:bCs/>
          <w:sz w:val="21"/>
          <w:szCs w:val="21"/>
        </w:rPr>
        <w:t>基金收益分配时所发生的银行转账或其他手续费用由投资者自行承担。</w:t>
      </w:r>
    </w:p>
    <w:p w:rsidR="00B43A95" w:rsidRDefault="00AB5A93">
      <w:pPr>
        <w:pStyle w:val="1"/>
        <w:spacing w:before="100" w:beforeAutospacing="1" w:after="100" w:afterAutospacing="1"/>
        <w:ind w:left="0"/>
        <w:jc w:val="center"/>
        <w:rPr>
          <w:rFonts w:ascii="Times New Roman" w:eastAsia="宋体" w:hAnsi="Times New Roman" w:cs="Times New Roman"/>
          <w:bCs w:val="0"/>
          <w:color w:val="000000" w:themeColor="text1"/>
          <w:kern w:val="2"/>
          <w:sz w:val="21"/>
          <w:szCs w:val="21"/>
          <w:lang w:val="en-US" w:bidi="ar-SA"/>
        </w:rPr>
      </w:pPr>
      <w:bookmarkStart w:id="10" w:name="_Toc516502495"/>
      <w:r>
        <w:rPr>
          <w:rFonts w:ascii="Times New Roman" w:eastAsia="宋体" w:hAnsi="Times New Roman" w:cs="Times New Roman" w:hint="eastAsia"/>
          <w:bCs w:val="0"/>
          <w:color w:val="000000" w:themeColor="text1"/>
          <w:kern w:val="2"/>
          <w:sz w:val="21"/>
          <w:szCs w:val="21"/>
          <w:lang w:val="en-US" w:bidi="ar-SA"/>
        </w:rPr>
        <w:t>十、基金信息披露</w:t>
      </w:r>
      <w:bookmarkEnd w:id="10"/>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（一）保密义务</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基金托管人和基金管理人应按法律法规、《基金合同》的有关规定进行信息披露，拟公开披露的信息在公开披露之前应予保密。除按《基金法》《运作办法》《信息披露办法》《流动性风险管理规定》《基金合同》及其他有关规定进行信息披露外，基金管理人和基金托管人对基金运作中产生的信息以及从对方获得的业务信息应予保密。</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基金管理人和基金托管人除了为合法履行法律法规、《基金合同》及本协议规定的义务所必要之外，不得为其他目的使用、利用其所知悉的基金的保密信息，并且应当将保密信息限制在为履行前述义务而需要了解该保密信息的职员范围之内。但是，如下情况不应视为基金管理人或基金托管人违反保密义务：</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1</w:t>
      </w:r>
      <w:r>
        <w:rPr>
          <w:rFonts w:ascii="Times New Roman" w:hAnsi="Times New Roman" w:cs="Times New Roman" w:hint="eastAsia"/>
          <w:spacing w:val="-4"/>
          <w:sz w:val="21"/>
          <w:szCs w:val="21"/>
        </w:rPr>
        <w:t>、非因基金管理人和基金托管人的原因导致保密信息被披露、泄露或公开；</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2</w:t>
      </w:r>
      <w:r>
        <w:rPr>
          <w:rFonts w:ascii="Times New Roman" w:hAnsi="Times New Roman" w:cs="Times New Roman" w:hint="eastAsia"/>
          <w:spacing w:val="-4"/>
          <w:sz w:val="21"/>
          <w:szCs w:val="21"/>
        </w:rPr>
        <w:t>、基金管理人和基金托管人为遵守和服从法院判决或裁定、仲裁裁决或中国证监会等监管机构的命令、决定所做出的信息披露或公开；</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3</w:t>
      </w:r>
      <w:r>
        <w:rPr>
          <w:rFonts w:ascii="Times New Roman" w:hAnsi="Times New Roman" w:cs="Times New Roman" w:hint="eastAsia"/>
          <w:spacing w:val="-4"/>
          <w:sz w:val="21"/>
          <w:szCs w:val="21"/>
        </w:rPr>
        <w:t>、基金管理人或基金托管人在要求保密的前提下，对自身聘请的外部法律顾问、财务顾问、审计人员、技术顾问等做出的必要信息披露。</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（二）信息披露的内容</w:t>
      </w:r>
    </w:p>
    <w:p w:rsidR="00B43A95" w:rsidRDefault="00AB5A93">
      <w:pPr>
        <w:adjustRightInd w:val="0"/>
        <w:snapToGrid w:val="0"/>
        <w:spacing w:line="360" w:lineRule="auto"/>
        <w:ind w:firstLineChars="200" w:firstLine="420"/>
        <w:jc w:val="both"/>
        <w:rPr>
          <w:rFonts w:ascii="Times New Roman" w:hAnsi="Times New Roman" w:cs="Times New Roman"/>
          <w:spacing w:val="-4"/>
          <w:sz w:val="21"/>
          <w:szCs w:val="21"/>
        </w:rPr>
      </w:pPr>
      <w:r>
        <w:rPr>
          <w:rFonts w:ascii="Times New Roman" w:hAnsi="Times New Roman" w:cs="Times New Roman" w:hint="eastAsia"/>
          <w:color w:val="000000"/>
          <w:sz w:val="21"/>
          <w:szCs w:val="21"/>
        </w:rPr>
        <w:t>基金的信息披露内容主要包括基金招募说明书、基金合同、托管协议、基金产品资料概要、基金份额发售公告、基金合同生效公告、基金净值信息、基金份额申购及赎回对价、基金开始申购及赎回公告、申购及赎回清单、基金份额折算日公告、基金份额折算结果公告、基金份额上市交易公告书、基金定期报告（包括基金年度报告、基金中期报告和基金季度报告）、临时报告、澄清公告、基金份额持有人大会决议、清算报告以及中国证监会规定的其他信息。基金</w:t>
      </w:r>
      <w:r>
        <w:rPr>
          <w:rFonts w:ascii="Times New Roman" w:hAnsi="Times New Roman" w:cs="Times New Roman" w:hint="eastAsia"/>
          <w:color w:val="000000"/>
          <w:sz w:val="21"/>
          <w:szCs w:val="21"/>
        </w:rPr>
        <w:lastRenderedPageBreak/>
        <w:t>年度报告中的财务会计报告需经符合《证券法》规定的会计师事务所审计后，方可披露。</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（三）基金托管人和基金管理人在信息披露中的职责和信息披露程序</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1</w:t>
      </w:r>
      <w:r>
        <w:rPr>
          <w:rFonts w:ascii="Times New Roman" w:hAnsi="Times New Roman" w:cs="Times New Roman" w:hint="eastAsia"/>
          <w:spacing w:val="-4"/>
          <w:sz w:val="21"/>
          <w:szCs w:val="21"/>
        </w:rPr>
        <w:t>、职责</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基金托管人和基金管理人在信息披露过程中应以保护基金份额持有人利益为宗旨，诚实信用，严守秘密。基金管理人负责办理与基金有关的信息披露事宜，对于本章第（二）条规定的应由基金托管人复核的事项，应经基金托管人复核无误后，由基金管理人予以公布。</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基金管理人应当在中国证监会规定的时间内，将应予披露的基金信息通过符合中国证监会规定条件的全国性报刊和基金管理人的互联网网站等媒介披露。根据法律法规应由基金托管人公开披露的信息，基金托管人将通过规定报刊和基金托管人的互联网网站公开披露。</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当出现下述情况时，基金管理人和基金托管人可暂停或延迟披露基金信息：</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w:t>
      </w:r>
      <w:r>
        <w:rPr>
          <w:rFonts w:ascii="Times New Roman" w:hAnsi="Times New Roman" w:cs="Times New Roman"/>
          <w:color w:val="000000"/>
          <w:sz w:val="21"/>
          <w:szCs w:val="21"/>
        </w:rPr>
        <w:t>1</w:t>
      </w:r>
      <w:r>
        <w:rPr>
          <w:rFonts w:ascii="Times New Roman" w:hAnsi="Times New Roman" w:cs="Times New Roman" w:hint="eastAsia"/>
          <w:color w:val="000000"/>
          <w:sz w:val="21"/>
          <w:szCs w:val="21"/>
        </w:rPr>
        <w:t>）不可抗力；</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w:t>
      </w:r>
      <w:r>
        <w:rPr>
          <w:rFonts w:ascii="Times New Roman" w:hAnsi="Times New Roman" w:cs="Times New Roman"/>
          <w:color w:val="000000"/>
          <w:sz w:val="21"/>
          <w:szCs w:val="21"/>
        </w:rPr>
        <w:t>2</w:t>
      </w:r>
      <w:r>
        <w:rPr>
          <w:rFonts w:ascii="Times New Roman" w:hAnsi="Times New Roman" w:cs="Times New Roman" w:hint="eastAsia"/>
          <w:color w:val="000000"/>
          <w:sz w:val="21"/>
          <w:szCs w:val="21"/>
        </w:rPr>
        <w:t>）基金投资所涉及的证券</w:t>
      </w:r>
      <w:r>
        <w:rPr>
          <w:rFonts w:ascii="Times New Roman" w:hAnsi="Times New Roman" w:cs="Times New Roman"/>
          <w:color w:val="000000"/>
          <w:sz w:val="21"/>
          <w:szCs w:val="21"/>
        </w:rPr>
        <w:t>/</w:t>
      </w:r>
      <w:r>
        <w:rPr>
          <w:rFonts w:ascii="Times New Roman" w:hAnsi="Times New Roman" w:cs="Times New Roman" w:hint="eastAsia"/>
          <w:color w:val="000000"/>
          <w:sz w:val="21"/>
          <w:szCs w:val="21"/>
        </w:rPr>
        <w:t>期货交易市场遇法定节假日或因其他原因暂停营业；</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w:t>
      </w:r>
      <w:r>
        <w:rPr>
          <w:rFonts w:ascii="Times New Roman" w:hAnsi="Times New Roman" w:cs="Times New Roman"/>
          <w:color w:val="000000"/>
          <w:sz w:val="21"/>
          <w:szCs w:val="21"/>
        </w:rPr>
        <w:t>3</w:t>
      </w:r>
      <w:r>
        <w:rPr>
          <w:rFonts w:ascii="Times New Roman" w:hAnsi="Times New Roman" w:cs="Times New Roman" w:hint="eastAsia"/>
          <w:color w:val="000000"/>
          <w:sz w:val="21"/>
          <w:szCs w:val="21"/>
        </w:rPr>
        <w:t>）发生暂停估值的情形；</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w:t>
      </w:r>
      <w:r>
        <w:rPr>
          <w:rFonts w:ascii="Times New Roman" w:hAnsi="Times New Roman" w:cs="Times New Roman"/>
          <w:color w:val="000000"/>
          <w:sz w:val="21"/>
          <w:szCs w:val="21"/>
        </w:rPr>
        <w:t>4</w:t>
      </w:r>
      <w:r>
        <w:rPr>
          <w:rFonts w:ascii="Times New Roman" w:hAnsi="Times New Roman" w:cs="Times New Roman" w:hint="eastAsia"/>
          <w:color w:val="000000"/>
          <w:sz w:val="21"/>
          <w:szCs w:val="21"/>
        </w:rPr>
        <w:t>）法律法规、基金合同或中国证监会规定的情况。</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2</w:t>
      </w:r>
      <w:r>
        <w:rPr>
          <w:rFonts w:ascii="Times New Roman" w:hAnsi="Times New Roman" w:cs="Times New Roman" w:hint="eastAsia"/>
          <w:spacing w:val="-4"/>
          <w:sz w:val="21"/>
          <w:szCs w:val="21"/>
        </w:rPr>
        <w:t>、程序</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按有关规定须经基金托管人复核的信息披露文件，由基金管理人起草、并经基金托管人复核后由基金管理人公告。发生《基金合同》中规定需要披露的事项时，按《基金合同》规定公布。</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3</w:t>
      </w:r>
      <w:r>
        <w:rPr>
          <w:rFonts w:ascii="Times New Roman" w:hAnsi="Times New Roman" w:cs="Times New Roman" w:hint="eastAsia"/>
          <w:spacing w:val="-4"/>
          <w:sz w:val="21"/>
          <w:szCs w:val="21"/>
        </w:rPr>
        <w:t>、信息文本的存放</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依法必须披露的信息发布后，基金管理人、基金托管人应当按照相关法律法规规定将信息置备于公司住所</w:t>
      </w:r>
      <w:r w:rsidRPr="00CD082F">
        <w:rPr>
          <w:rFonts w:ascii="Times New Roman" w:hAnsi="Times New Roman" w:cs="Times New Roman" w:hint="eastAsia"/>
          <w:spacing w:val="-4"/>
          <w:sz w:val="21"/>
          <w:szCs w:val="21"/>
        </w:rPr>
        <w:t>和基金上市交易的证券交易所</w:t>
      </w:r>
      <w:r>
        <w:rPr>
          <w:rFonts w:ascii="Times New Roman" w:hAnsi="Times New Roman" w:cs="Times New Roman" w:hint="eastAsia"/>
          <w:spacing w:val="-4"/>
          <w:sz w:val="21"/>
          <w:szCs w:val="21"/>
        </w:rPr>
        <w:t>，供社会公众查阅、复制。</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投资者可以免费查阅上述文件。在支付工本费后可在合理时间获得上述文件的复制件或复印件。基金管理人和基金托管人应保证文本的内容与所公告的内容完全一致。</w:t>
      </w:r>
    </w:p>
    <w:p w:rsidR="00B43A95" w:rsidRDefault="00B43A95">
      <w:pPr>
        <w:spacing w:line="360" w:lineRule="auto"/>
        <w:ind w:firstLineChars="200" w:firstLine="412"/>
        <w:jc w:val="both"/>
        <w:rPr>
          <w:rFonts w:ascii="Times New Roman" w:hAnsi="Times New Roman" w:cs="Times New Roman"/>
          <w:spacing w:val="-4"/>
          <w:sz w:val="21"/>
          <w:szCs w:val="21"/>
        </w:rPr>
      </w:pPr>
    </w:p>
    <w:p w:rsidR="00B43A95" w:rsidRDefault="00B43A95">
      <w:pPr>
        <w:spacing w:line="360" w:lineRule="auto"/>
        <w:ind w:firstLineChars="200" w:firstLine="412"/>
        <w:jc w:val="both"/>
        <w:rPr>
          <w:rFonts w:ascii="Times New Roman" w:hAnsi="Times New Roman" w:cs="Times New Roman"/>
          <w:spacing w:val="-4"/>
          <w:sz w:val="21"/>
          <w:szCs w:val="21"/>
        </w:rPr>
      </w:pPr>
    </w:p>
    <w:p w:rsidR="00B43A95" w:rsidRDefault="00AB5A93">
      <w:pPr>
        <w:pStyle w:val="1"/>
        <w:spacing w:before="100" w:beforeAutospacing="1" w:after="100" w:afterAutospacing="1"/>
        <w:ind w:left="0"/>
        <w:jc w:val="center"/>
        <w:rPr>
          <w:rFonts w:ascii="Times New Roman" w:eastAsia="宋体" w:hAnsi="Times New Roman" w:cs="Times New Roman"/>
          <w:bCs w:val="0"/>
          <w:color w:val="000000" w:themeColor="text1"/>
          <w:kern w:val="2"/>
          <w:sz w:val="21"/>
          <w:szCs w:val="21"/>
          <w:lang w:val="en-US" w:bidi="ar-SA"/>
        </w:rPr>
      </w:pPr>
      <w:bookmarkStart w:id="11" w:name="_Toc516502496"/>
      <w:r>
        <w:rPr>
          <w:rFonts w:ascii="Times New Roman" w:eastAsia="宋体" w:hAnsi="Times New Roman" w:cs="Times New Roman" w:hint="eastAsia"/>
          <w:bCs w:val="0"/>
          <w:color w:val="000000" w:themeColor="text1"/>
          <w:kern w:val="2"/>
          <w:sz w:val="21"/>
          <w:szCs w:val="21"/>
          <w:lang w:val="en-US" w:bidi="ar-SA"/>
        </w:rPr>
        <w:t>十一、基金费用</w:t>
      </w:r>
      <w:bookmarkEnd w:id="11"/>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（一）基金管理费的计提比例和计提方法</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本基金的管理费按前一日基金资产净值的</w:t>
      </w:r>
      <w:r>
        <w:rPr>
          <w:rFonts w:ascii="Times New Roman" w:hAnsi="Times New Roman" w:cs="Times New Roman"/>
          <w:spacing w:val="-4"/>
          <w:sz w:val="21"/>
          <w:szCs w:val="21"/>
        </w:rPr>
        <w:t>0.15%</w:t>
      </w:r>
      <w:r>
        <w:rPr>
          <w:rFonts w:ascii="Times New Roman" w:hAnsi="Times New Roman" w:cs="Times New Roman"/>
          <w:spacing w:val="-4"/>
          <w:sz w:val="21"/>
          <w:szCs w:val="21"/>
        </w:rPr>
        <w:t>年费率计提。管理费的计算方法如下：</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H</w:t>
      </w:r>
      <w:r>
        <w:rPr>
          <w:rFonts w:ascii="Times New Roman" w:hAnsi="Times New Roman" w:cs="Times New Roman"/>
          <w:spacing w:val="-4"/>
          <w:sz w:val="21"/>
          <w:szCs w:val="21"/>
        </w:rPr>
        <w:t>＝</w:t>
      </w:r>
      <w:r>
        <w:rPr>
          <w:rFonts w:ascii="Times New Roman" w:hAnsi="Times New Roman" w:cs="Times New Roman"/>
          <w:spacing w:val="-4"/>
          <w:sz w:val="21"/>
          <w:szCs w:val="21"/>
        </w:rPr>
        <w:t>E×0.15%÷</w:t>
      </w:r>
      <w:r>
        <w:rPr>
          <w:rFonts w:ascii="Times New Roman" w:hAnsi="Times New Roman" w:cs="Times New Roman"/>
          <w:spacing w:val="-4"/>
          <w:sz w:val="21"/>
          <w:szCs w:val="21"/>
        </w:rPr>
        <w:t>当年天数</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H</w:t>
      </w:r>
      <w:r>
        <w:rPr>
          <w:rFonts w:ascii="Times New Roman" w:hAnsi="Times New Roman" w:cs="Times New Roman"/>
          <w:spacing w:val="-4"/>
          <w:sz w:val="21"/>
          <w:szCs w:val="21"/>
        </w:rPr>
        <w:t>为每日应计提的基金管理费</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E</w:t>
      </w:r>
      <w:r>
        <w:rPr>
          <w:rFonts w:ascii="Times New Roman" w:hAnsi="Times New Roman" w:cs="Times New Roman"/>
          <w:spacing w:val="-4"/>
          <w:sz w:val="21"/>
          <w:szCs w:val="21"/>
        </w:rPr>
        <w:t>为前一日的基金资产净值</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基金管理费每日计提，按月支付，由基金管理人与基金托管人核对一致后，基金托管人按照</w:t>
      </w:r>
      <w:r>
        <w:rPr>
          <w:rFonts w:ascii="Times New Roman" w:hAnsi="Times New Roman" w:cs="Times New Roman" w:hint="eastAsia"/>
          <w:spacing w:val="-4"/>
          <w:sz w:val="21"/>
          <w:szCs w:val="21"/>
        </w:rPr>
        <w:lastRenderedPageBreak/>
        <w:t>与基金管理人协商一致的方式于次月首日起</w:t>
      </w:r>
      <w:r>
        <w:rPr>
          <w:rFonts w:ascii="Times New Roman" w:hAnsi="Times New Roman" w:cs="Times New Roman"/>
          <w:spacing w:val="-4"/>
          <w:sz w:val="21"/>
          <w:szCs w:val="21"/>
        </w:rPr>
        <w:t>5</w:t>
      </w:r>
      <w:r>
        <w:rPr>
          <w:rFonts w:ascii="Times New Roman" w:hAnsi="Times New Roman" w:cs="Times New Roman"/>
          <w:spacing w:val="-4"/>
          <w:sz w:val="21"/>
          <w:szCs w:val="21"/>
        </w:rPr>
        <w:t>个工作日内从基金财产中一次性支付给基金管理人。若遇法定节假日、休息日等，支付日期顺延。</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（二）基金托管费的计提比例和计提方法</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本基金的托管费按前一日基金资产净值的</w:t>
      </w:r>
      <w:r>
        <w:rPr>
          <w:rFonts w:ascii="Times New Roman" w:hAnsi="Times New Roman" w:cs="Times New Roman"/>
          <w:spacing w:val="-4"/>
          <w:sz w:val="21"/>
          <w:szCs w:val="21"/>
        </w:rPr>
        <w:t>0.05%</w:t>
      </w:r>
      <w:r>
        <w:rPr>
          <w:rFonts w:ascii="Times New Roman" w:hAnsi="Times New Roman" w:cs="Times New Roman"/>
          <w:spacing w:val="-4"/>
          <w:sz w:val="21"/>
          <w:szCs w:val="21"/>
        </w:rPr>
        <w:t>的年费率计提。托管费的计算方法如下：</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H</w:t>
      </w:r>
      <w:r>
        <w:rPr>
          <w:rFonts w:ascii="Times New Roman" w:hAnsi="Times New Roman" w:cs="Times New Roman"/>
          <w:spacing w:val="-4"/>
          <w:sz w:val="21"/>
          <w:szCs w:val="21"/>
        </w:rPr>
        <w:t>＝</w:t>
      </w:r>
      <w:r>
        <w:rPr>
          <w:rFonts w:ascii="Times New Roman" w:hAnsi="Times New Roman" w:cs="Times New Roman"/>
          <w:spacing w:val="-4"/>
          <w:sz w:val="21"/>
          <w:szCs w:val="21"/>
        </w:rPr>
        <w:t>E×0.05%÷</w:t>
      </w:r>
      <w:r>
        <w:rPr>
          <w:rFonts w:ascii="Times New Roman" w:hAnsi="Times New Roman" w:cs="Times New Roman"/>
          <w:spacing w:val="-4"/>
          <w:sz w:val="21"/>
          <w:szCs w:val="21"/>
        </w:rPr>
        <w:t>当年天数</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H</w:t>
      </w:r>
      <w:r>
        <w:rPr>
          <w:rFonts w:ascii="Times New Roman" w:hAnsi="Times New Roman" w:cs="Times New Roman"/>
          <w:spacing w:val="-4"/>
          <w:sz w:val="21"/>
          <w:szCs w:val="21"/>
        </w:rPr>
        <w:t>为每日应计提的基金托管费</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E</w:t>
      </w:r>
      <w:r>
        <w:rPr>
          <w:rFonts w:ascii="Times New Roman" w:hAnsi="Times New Roman" w:cs="Times New Roman"/>
          <w:spacing w:val="-4"/>
          <w:sz w:val="21"/>
          <w:szCs w:val="21"/>
        </w:rPr>
        <w:t>为前一日的基金资产净值</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基金托管费每日计提，按月支付，由基金管理人与基金托管人核对一致后，基金托管人按照与基金管理人协商一致的方式于次月首日起</w:t>
      </w:r>
      <w:r>
        <w:rPr>
          <w:rFonts w:ascii="Times New Roman" w:hAnsi="Times New Roman" w:cs="Times New Roman"/>
          <w:spacing w:val="-4"/>
          <w:sz w:val="21"/>
          <w:szCs w:val="21"/>
        </w:rPr>
        <w:t>5</w:t>
      </w:r>
      <w:r>
        <w:rPr>
          <w:rFonts w:ascii="Times New Roman" w:hAnsi="Times New Roman" w:cs="Times New Roman"/>
          <w:spacing w:val="-4"/>
          <w:sz w:val="21"/>
          <w:szCs w:val="21"/>
        </w:rPr>
        <w:t>个工作日内从基金财产中一次性支付给基金托管人。若遇法定节假日、休息日等，支付日期顺延。</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（三）银行汇划费用、基金的证券</w:t>
      </w:r>
      <w:r>
        <w:rPr>
          <w:rFonts w:ascii="Times New Roman" w:hAnsi="Times New Roman" w:cs="Times New Roman"/>
          <w:spacing w:val="-4"/>
          <w:sz w:val="21"/>
          <w:szCs w:val="21"/>
        </w:rPr>
        <w:t>/</w:t>
      </w:r>
      <w:r>
        <w:rPr>
          <w:rFonts w:ascii="Times New Roman" w:hAnsi="Times New Roman" w:cs="Times New Roman" w:hint="eastAsia"/>
          <w:spacing w:val="-4"/>
          <w:sz w:val="21"/>
          <w:szCs w:val="21"/>
        </w:rPr>
        <w:t>期货交易费用、基金的开户费用和银行账户维护费、基金合同生效后的信息披露费用（法律法规、中国证监会另有规定的除外）、基金份额持有人大会费用、基金合同生效后与基金相关的会计师费、律师费、仲裁费、公证费、诉讼费、基金份额收益分配中发生的费用、基金上市初费及年费、登记结算费用、</w:t>
      </w:r>
      <w:r>
        <w:rPr>
          <w:rFonts w:ascii="Times New Roman" w:hAnsi="Times New Roman" w:cs="Times New Roman"/>
          <w:spacing w:val="-4"/>
          <w:sz w:val="21"/>
          <w:szCs w:val="21"/>
        </w:rPr>
        <w:t>IOPV</w:t>
      </w:r>
      <w:r>
        <w:rPr>
          <w:rFonts w:ascii="Times New Roman" w:hAnsi="Times New Roman" w:cs="Times New Roman"/>
          <w:spacing w:val="-4"/>
          <w:sz w:val="21"/>
          <w:szCs w:val="21"/>
        </w:rPr>
        <w:t>计算与发布费用（如有）</w:t>
      </w:r>
      <w:r>
        <w:rPr>
          <w:rFonts w:ascii="Times New Roman" w:hAnsi="Times New Roman" w:cs="Times New Roman" w:hint="eastAsia"/>
          <w:spacing w:val="-4"/>
          <w:sz w:val="21"/>
          <w:szCs w:val="21"/>
        </w:rPr>
        <w:t>等根据有关法律法规、基金合同及相应协议的规定，可以列入当期基金费用。</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（四）不列入基金费用的项目</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基金管理人与基金托管人因未履行或未完全履行义务导致的费用支出或基金资产的损失，以及处理与基金运作无关的事项发生的费用、标的指数许可使用费等不列入基金费用。《基金合同》生效前的相关费用，包括但不限于验资费、会计师和律师费、信息披露费等费用不列入基金费用。</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（五）本基金运作前产生的相关费用由基金管理人垫付，运作后由基金管理人向基金托管人发送划付指令</w:t>
      </w:r>
      <w:r>
        <w:rPr>
          <w:rFonts w:ascii="Times New Roman" w:hAnsi="Times New Roman" w:cs="Times New Roman"/>
          <w:spacing w:val="-4"/>
          <w:sz w:val="21"/>
          <w:szCs w:val="21"/>
        </w:rPr>
        <w:t>，</w:t>
      </w:r>
      <w:r>
        <w:rPr>
          <w:rFonts w:ascii="Times New Roman" w:hAnsi="Times New Roman" w:cs="Times New Roman" w:hint="eastAsia"/>
          <w:spacing w:val="-4"/>
          <w:sz w:val="21"/>
          <w:szCs w:val="21"/>
        </w:rPr>
        <w:t>经基金托管人复核后于次日起</w:t>
      </w:r>
      <w:r>
        <w:rPr>
          <w:rFonts w:ascii="Times New Roman" w:hAnsi="Times New Roman" w:cs="Times New Roman"/>
          <w:spacing w:val="-4"/>
          <w:sz w:val="21"/>
          <w:szCs w:val="21"/>
        </w:rPr>
        <w:t>3</w:t>
      </w:r>
      <w:r>
        <w:rPr>
          <w:rFonts w:ascii="Times New Roman" w:hAnsi="Times New Roman" w:cs="Times New Roman" w:hint="eastAsia"/>
          <w:spacing w:val="-4"/>
          <w:sz w:val="21"/>
          <w:szCs w:val="21"/>
        </w:rPr>
        <w:t>个工作日内从基金资产中一次性支付给基金管理人。</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（六）违规处理方式</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基金托管人发现基金管理人违反《基金法》《基金合同》《运作办法》及其他有关规定从基金财产中列支费用时，基金托管人可要求基金管理人予以说明解释，如基金管理人无正当理由，基金托管人可拒绝支付。</w:t>
      </w:r>
    </w:p>
    <w:p w:rsidR="00B43A95" w:rsidRDefault="00AB5A93">
      <w:pPr>
        <w:pStyle w:val="1"/>
        <w:spacing w:before="100" w:beforeAutospacing="1" w:after="100" w:afterAutospacing="1"/>
        <w:ind w:left="0"/>
        <w:jc w:val="center"/>
        <w:rPr>
          <w:rFonts w:ascii="Times New Roman" w:eastAsia="宋体" w:hAnsi="Times New Roman" w:cs="Times New Roman"/>
          <w:bCs w:val="0"/>
          <w:color w:val="000000" w:themeColor="text1"/>
          <w:kern w:val="2"/>
          <w:sz w:val="21"/>
          <w:szCs w:val="21"/>
          <w:lang w:val="en-US" w:bidi="ar-SA"/>
        </w:rPr>
      </w:pPr>
      <w:bookmarkStart w:id="12" w:name="_Toc516502497"/>
      <w:r>
        <w:rPr>
          <w:rFonts w:ascii="Times New Roman" w:eastAsia="宋体" w:hAnsi="Times New Roman" w:cs="Times New Roman" w:hint="eastAsia"/>
          <w:bCs w:val="0"/>
          <w:color w:val="000000" w:themeColor="text1"/>
          <w:kern w:val="2"/>
          <w:sz w:val="21"/>
          <w:szCs w:val="21"/>
          <w:lang w:val="en-US" w:bidi="ar-SA"/>
        </w:rPr>
        <w:t>十二、基金份额持有人名册的登记与保管</w:t>
      </w:r>
      <w:bookmarkEnd w:id="12"/>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本基金的基金管理人和基金托管人须分别妥善保管的基金份额持有人名册，包括基金合同生效日、基金合同终止日、基金权益登记日、基金份额持有人大会权益登记日、每年</w:t>
      </w:r>
      <w:r>
        <w:rPr>
          <w:rFonts w:ascii="Times New Roman" w:hAnsi="Times New Roman" w:cs="Times New Roman"/>
          <w:spacing w:val="-4"/>
          <w:sz w:val="21"/>
          <w:szCs w:val="21"/>
        </w:rPr>
        <w:t>6</w:t>
      </w:r>
      <w:r>
        <w:rPr>
          <w:rFonts w:ascii="Times New Roman" w:hAnsi="Times New Roman" w:cs="Times New Roman" w:hint="eastAsia"/>
          <w:spacing w:val="-4"/>
          <w:sz w:val="21"/>
          <w:szCs w:val="21"/>
        </w:rPr>
        <w:t>月</w:t>
      </w:r>
      <w:r>
        <w:rPr>
          <w:rFonts w:ascii="Times New Roman" w:hAnsi="Times New Roman" w:cs="Times New Roman"/>
          <w:spacing w:val="-4"/>
          <w:sz w:val="21"/>
          <w:szCs w:val="21"/>
        </w:rPr>
        <w:t>30</w:t>
      </w:r>
      <w:r>
        <w:rPr>
          <w:rFonts w:ascii="Times New Roman" w:hAnsi="Times New Roman" w:cs="Times New Roman" w:hint="eastAsia"/>
          <w:spacing w:val="-4"/>
          <w:sz w:val="21"/>
          <w:szCs w:val="21"/>
        </w:rPr>
        <w:t>日、</w:t>
      </w:r>
      <w:r>
        <w:rPr>
          <w:rFonts w:ascii="Times New Roman" w:hAnsi="Times New Roman" w:cs="Times New Roman"/>
          <w:spacing w:val="-4"/>
          <w:sz w:val="21"/>
          <w:szCs w:val="21"/>
        </w:rPr>
        <w:t>12</w:t>
      </w:r>
      <w:r>
        <w:rPr>
          <w:rFonts w:ascii="Times New Roman" w:hAnsi="Times New Roman" w:cs="Times New Roman" w:hint="eastAsia"/>
          <w:spacing w:val="-4"/>
          <w:sz w:val="21"/>
          <w:szCs w:val="21"/>
        </w:rPr>
        <w:t>月</w:t>
      </w:r>
      <w:r>
        <w:rPr>
          <w:rFonts w:ascii="Times New Roman" w:hAnsi="Times New Roman" w:cs="Times New Roman"/>
          <w:spacing w:val="-4"/>
          <w:sz w:val="21"/>
          <w:szCs w:val="21"/>
        </w:rPr>
        <w:t>31</w:t>
      </w:r>
      <w:r>
        <w:rPr>
          <w:rFonts w:ascii="Times New Roman" w:hAnsi="Times New Roman" w:cs="Times New Roman" w:hint="eastAsia"/>
          <w:spacing w:val="-4"/>
          <w:sz w:val="21"/>
          <w:szCs w:val="21"/>
        </w:rPr>
        <w:t>日的基金份额持有人名册。基金份额持有人名册的内容至少应包括持有人的名称和持有的基</w:t>
      </w:r>
      <w:r>
        <w:rPr>
          <w:rFonts w:ascii="Times New Roman" w:hAnsi="Times New Roman" w:cs="Times New Roman" w:hint="eastAsia"/>
          <w:spacing w:val="-4"/>
          <w:sz w:val="21"/>
          <w:szCs w:val="21"/>
        </w:rPr>
        <w:lastRenderedPageBreak/>
        <w:t>金份额。</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基金份额持有人名册由登记机构编制，由基金管理人审核并提交基金托管人保管。基金托管人有权要求基金管理人提供任意一个交易日或全部交易日的基金份额持有人名册，基金管理人应及时提供，不得无故拖延或拒绝提供。</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基金管理人应及时向基金托管人提交基金份额持有人名册。每年</w:t>
      </w:r>
      <w:r>
        <w:rPr>
          <w:rFonts w:ascii="Times New Roman" w:hAnsi="Times New Roman" w:cs="Times New Roman"/>
          <w:spacing w:val="-4"/>
          <w:sz w:val="21"/>
          <w:szCs w:val="21"/>
        </w:rPr>
        <w:t>6</w:t>
      </w:r>
      <w:r>
        <w:rPr>
          <w:rFonts w:ascii="Times New Roman" w:hAnsi="Times New Roman" w:cs="Times New Roman" w:hint="eastAsia"/>
          <w:spacing w:val="-4"/>
          <w:sz w:val="21"/>
          <w:szCs w:val="21"/>
        </w:rPr>
        <w:t>月</w:t>
      </w:r>
      <w:r>
        <w:rPr>
          <w:rFonts w:ascii="Times New Roman" w:hAnsi="Times New Roman" w:cs="Times New Roman"/>
          <w:spacing w:val="-4"/>
          <w:sz w:val="21"/>
          <w:szCs w:val="21"/>
        </w:rPr>
        <w:t>30</w:t>
      </w:r>
      <w:r>
        <w:rPr>
          <w:rFonts w:ascii="Times New Roman" w:hAnsi="Times New Roman" w:cs="Times New Roman" w:hint="eastAsia"/>
          <w:spacing w:val="-4"/>
          <w:sz w:val="21"/>
          <w:szCs w:val="21"/>
        </w:rPr>
        <w:t>日和</w:t>
      </w:r>
      <w:r>
        <w:rPr>
          <w:rFonts w:ascii="Times New Roman" w:hAnsi="Times New Roman" w:cs="Times New Roman"/>
          <w:spacing w:val="-4"/>
          <w:sz w:val="21"/>
          <w:szCs w:val="21"/>
        </w:rPr>
        <w:t>12</w:t>
      </w:r>
      <w:r>
        <w:rPr>
          <w:rFonts w:ascii="Times New Roman" w:hAnsi="Times New Roman" w:cs="Times New Roman" w:hint="eastAsia"/>
          <w:spacing w:val="-4"/>
          <w:sz w:val="21"/>
          <w:szCs w:val="21"/>
        </w:rPr>
        <w:t>月</w:t>
      </w:r>
      <w:r>
        <w:rPr>
          <w:rFonts w:ascii="Times New Roman" w:hAnsi="Times New Roman" w:cs="Times New Roman"/>
          <w:spacing w:val="-4"/>
          <w:sz w:val="21"/>
          <w:szCs w:val="21"/>
        </w:rPr>
        <w:t>31</w:t>
      </w:r>
      <w:r>
        <w:rPr>
          <w:rFonts w:ascii="Times New Roman" w:hAnsi="Times New Roman" w:cs="Times New Roman" w:hint="eastAsia"/>
          <w:spacing w:val="-4"/>
          <w:sz w:val="21"/>
          <w:szCs w:val="21"/>
        </w:rPr>
        <w:t>日的基金份额持有人名册应于下月前十个工作日内提交；基金合同生效日、基金合同终止日等涉及到基金重要事项日期的基金份额持有人名册应于发生日后十个工作日内提交。</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基金管理人和基金托管人应妥善保管基金份额持有人名册，保存期限不少于法律法规规定的最低期限。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B43A95" w:rsidRDefault="00AB5A93">
      <w:pPr>
        <w:pStyle w:val="1"/>
        <w:spacing w:before="100" w:beforeAutospacing="1" w:after="100" w:afterAutospacing="1"/>
        <w:ind w:left="0"/>
        <w:jc w:val="center"/>
        <w:rPr>
          <w:rFonts w:ascii="Times New Roman" w:eastAsia="宋体" w:hAnsi="Times New Roman" w:cs="Times New Roman"/>
          <w:bCs w:val="0"/>
          <w:color w:val="000000" w:themeColor="text1"/>
          <w:kern w:val="2"/>
          <w:sz w:val="21"/>
          <w:szCs w:val="21"/>
          <w:lang w:val="en-US" w:bidi="ar-SA"/>
        </w:rPr>
      </w:pPr>
      <w:bookmarkStart w:id="13" w:name="_Toc516502498"/>
      <w:r>
        <w:rPr>
          <w:rFonts w:ascii="Times New Roman" w:eastAsia="宋体" w:hAnsi="Times New Roman" w:cs="Times New Roman" w:hint="eastAsia"/>
          <w:bCs w:val="0"/>
          <w:color w:val="000000" w:themeColor="text1"/>
          <w:kern w:val="2"/>
          <w:sz w:val="21"/>
          <w:szCs w:val="21"/>
          <w:lang w:val="en-US" w:bidi="ar-SA"/>
        </w:rPr>
        <w:t>十三、基金有关文件档案的保存</w:t>
      </w:r>
      <w:bookmarkEnd w:id="13"/>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（一）档案保存</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法律法规规定的最低期限。</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（二）合同档案的建立</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基金管理人代表基金签署与基金相关的重大合同文本后，应及时以加密方式将重大合同扫描件发送给基金托管人，并在十个工作日内将合同文本正本送达基金托管人处。</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（三）变更与协助</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若基金管理人</w:t>
      </w:r>
      <w:r>
        <w:rPr>
          <w:rFonts w:ascii="Times New Roman" w:hAnsi="Times New Roman" w:cs="Times New Roman"/>
          <w:spacing w:val="-4"/>
          <w:sz w:val="21"/>
          <w:szCs w:val="21"/>
        </w:rPr>
        <w:t>/</w:t>
      </w:r>
      <w:r>
        <w:rPr>
          <w:rFonts w:ascii="Times New Roman" w:hAnsi="Times New Roman" w:cs="Times New Roman" w:hint="eastAsia"/>
          <w:spacing w:val="-4"/>
          <w:sz w:val="21"/>
          <w:szCs w:val="21"/>
        </w:rPr>
        <w:t>基金托管人发生变更，未变更的一方有义务协助变更后的接任人接收相应文件。</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（四）基金管理人和基金托管人应按各自职责完整保存原始凭证、记账凭证、基金账册、交易记录和重要合同等，承担保密义务并保存，不少于法律法规规定的最低期限。</w:t>
      </w:r>
    </w:p>
    <w:p w:rsidR="00B43A95" w:rsidRDefault="00AB5A93">
      <w:pPr>
        <w:pStyle w:val="1"/>
        <w:spacing w:before="100" w:beforeAutospacing="1" w:after="100" w:afterAutospacing="1"/>
        <w:ind w:left="0"/>
        <w:jc w:val="center"/>
        <w:rPr>
          <w:rFonts w:ascii="Times New Roman" w:eastAsia="宋体" w:hAnsi="Times New Roman" w:cs="Times New Roman"/>
          <w:bCs w:val="0"/>
          <w:color w:val="000000" w:themeColor="text1"/>
          <w:kern w:val="2"/>
          <w:sz w:val="21"/>
          <w:szCs w:val="21"/>
          <w:lang w:val="en-US" w:bidi="ar-SA"/>
        </w:rPr>
      </w:pPr>
      <w:bookmarkStart w:id="14" w:name="_Toc516502499"/>
      <w:r>
        <w:rPr>
          <w:rFonts w:ascii="Times New Roman" w:eastAsia="宋体" w:hAnsi="Times New Roman" w:cs="Times New Roman" w:hint="eastAsia"/>
          <w:bCs w:val="0"/>
          <w:color w:val="000000" w:themeColor="text1"/>
          <w:kern w:val="2"/>
          <w:sz w:val="21"/>
          <w:szCs w:val="21"/>
          <w:lang w:val="en-US" w:bidi="ar-SA"/>
        </w:rPr>
        <w:t>十四、基金管理人和基金托管人的更换</w:t>
      </w:r>
      <w:bookmarkEnd w:id="14"/>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（一）基金管理人的更换</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color w:val="000000"/>
          <w:sz w:val="21"/>
          <w:szCs w:val="21"/>
        </w:rPr>
        <w:t>1</w:t>
      </w:r>
      <w:r>
        <w:rPr>
          <w:rFonts w:ascii="Times New Roman" w:hAnsi="Times New Roman" w:cs="Times New Roman" w:hint="eastAsia"/>
          <w:color w:val="000000"/>
          <w:sz w:val="21"/>
          <w:szCs w:val="21"/>
          <w:lang w:val="en-US"/>
        </w:rPr>
        <w:t>、</w:t>
      </w:r>
      <w:r>
        <w:rPr>
          <w:rFonts w:ascii="Times New Roman" w:hAnsi="Times New Roman" w:cs="Times New Roman" w:hint="eastAsia"/>
          <w:color w:val="000000"/>
          <w:sz w:val="21"/>
          <w:szCs w:val="21"/>
        </w:rPr>
        <w:t>基金管理人的更换条件</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有下列情形之一的，基金管理人职责终止：</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w:t>
      </w:r>
      <w:r>
        <w:rPr>
          <w:rFonts w:ascii="Times New Roman" w:hAnsi="Times New Roman" w:cs="Times New Roman"/>
          <w:color w:val="000000"/>
          <w:sz w:val="21"/>
          <w:szCs w:val="21"/>
        </w:rPr>
        <w:t>1</w:t>
      </w:r>
      <w:r>
        <w:rPr>
          <w:rFonts w:ascii="Times New Roman" w:hAnsi="Times New Roman" w:cs="Times New Roman" w:hint="eastAsia"/>
          <w:color w:val="000000"/>
          <w:sz w:val="21"/>
          <w:szCs w:val="21"/>
        </w:rPr>
        <w:t>）基金管理人被依法取消基金管理资格；</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w:t>
      </w:r>
      <w:r>
        <w:rPr>
          <w:rFonts w:ascii="Times New Roman" w:hAnsi="Times New Roman" w:cs="Times New Roman"/>
          <w:color w:val="000000"/>
          <w:sz w:val="21"/>
          <w:szCs w:val="21"/>
        </w:rPr>
        <w:t>2</w:t>
      </w:r>
      <w:r>
        <w:rPr>
          <w:rFonts w:ascii="Times New Roman" w:hAnsi="Times New Roman" w:cs="Times New Roman" w:hint="eastAsia"/>
          <w:color w:val="000000"/>
          <w:sz w:val="21"/>
          <w:szCs w:val="21"/>
        </w:rPr>
        <w:t>）基金管理人被基金份额持有人大会解任；</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lang w:val="en-US"/>
        </w:rPr>
      </w:pPr>
      <w:r>
        <w:rPr>
          <w:rFonts w:ascii="Times New Roman" w:hAnsi="Times New Roman" w:cs="Times New Roman" w:hint="eastAsia"/>
          <w:color w:val="000000"/>
          <w:sz w:val="21"/>
          <w:szCs w:val="21"/>
        </w:rPr>
        <w:lastRenderedPageBreak/>
        <w:t>（</w:t>
      </w:r>
      <w:r>
        <w:rPr>
          <w:rFonts w:ascii="Times New Roman" w:hAnsi="Times New Roman" w:cs="Times New Roman"/>
          <w:color w:val="000000"/>
          <w:sz w:val="21"/>
          <w:szCs w:val="21"/>
        </w:rPr>
        <w:t>3</w:t>
      </w:r>
      <w:r>
        <w:rPr>
          <w:rFonts w:ascii="Times New Roman" w:hAnsi="Times New Roman" w:cs="Times New Roman" w:hint="eastAsia"/>
          <w:color w:val="000000"/>
          <w:sz w:val="21"/>
          <w:szCs w:val="21"/>
        </w:rPr>
        <w:t>）基金管理人依法解散、被依法撤销或被依法宣告破产；</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w:t>
      </w:r>
      <w:r>
        <w:rPr>
          <w:rFonts w:ascii="Times New Roman" w:hAnsi="Times New Roman" w:cs="Times New Roman"/>
          <w:color w:val="000000"/>
          <w:sz w:val="21"/>
          <w:szCs w:val="21"/>
        </w:rPr>
        <w:t>4</w:t>
      </w:r>
      <w:r>
        <w:rPr>
          <w:rFonts w:ascii="Times New Roman" w:hAnsi="Times New Roman" w:cs="Times New Roman" w:hint="eastAsia"/>
          <w:color w:val="000000"/>
          <w:sz w:val="21"/>
          <w:szCs w:val="21"/>
        </w:rPr>
        <w:t>）法律法规及中国证监会规定的和基金合同约定的其他情形。</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color w:val="000000"/>
          <w:sz w:val="21"/>
          <w:szCs w:val="21"/>
        </w:rPr>
        <w:t>2</w:t>
      </w:r>
      <w:r>
        <w:rPr>
          <w:rFonts w:ascii="Times New Roman" w:hAnsi="Times New Roman" w:cs="Times New Roman" w:hint="eastAsia"/>
          <w:color w:val="000000"/>
          <w:sz w:val="21"/>
          <w:szCs w:val="21"/>
        </w:rPr>
        <w:t>、基金管理人的更换程序</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更换基金管理人必须依照如下程序进行：</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w:t>
      </w:r>
      <w:r>
        <w:rPr>
          <w:rFonts w:ascii="Times New Roman" w:hAnsi="Times New Roman" w:cs="Times New Roman"/>
          <w:color w:val="000000"/>
          <w:sz w:val="21"/>
          <w:szCs w:val="21"/>
        </w:rPr>
        <w:t>1</w:t>
      </w:r>
      <w:r>
        <w:rPr>
          <w:rFonts w:ascii="Times New Roman" w:hAnsi="Times New Roman" w:cs="Times New Roman" w:hint="eastAsia"/>
          <w:color w:val="000000"/>
          <w:sz w:val="21"/>
          <w:szCs w:val="21"/>
        </w:rPr>
        <w:t>）提名：</w:t>
      </w:r>
      <w:r>
        <w:rPr>
          <w:rFonts w:ascii="Times New Roman" w:hAnsi="Times New Roman" w:cs="Times New Roman" w:hint="eastAsia"/>
          <w:bCs/>
          <w:sz w:val="21"/>
          <w:szCs w:val="21"/>
        </w:rPr>
        <w:t>新任基金管理人由基金托管人或由单独或合计持有</w:t>
      </w:r>
      <w:r>
        <w:rPr>
          <w:rFonts w:ascii="Times New Roman" w:hAnsi="Times New Roman" w:cs="Times New Roman"/>
          <w:bCs/>
          <w:sz w:val="21"/>
          <w:szCs w:val="21"/>
        </w:rPr>
        <w:t>10%</w:t>
      </w:r>
      <w:r>
        <w:rPr>
          <w:rFonts w:ascii="Times New Roman" w:hAnsi="Times New Roman" w:cs="Times New Roman" w:hint="eastAsia"/>
          <w:bCs/>
          <w:sz w:val="21"/>
          <w:szCs w:val="21"/>
        </w:rPr>
        <w:t>以上（含</w:t>
      </w:r>
      <w:r>
        <w:rPr>
          <w:rFonts w:ascii="Times New Roman" w:hAnsi="Times New Roman" w:cs="Times New Roman"/>
          <w:bCs/>
          <w:sz w:val="21"/>
          <w:szCs w:val="21"/>
        </w:rPr>
        <w:t>10%</w:t>
      </w:r>
      <w:r>
        <w:rPr>
          <w:rFonts w:ascii="Times New Roman" w:hAnsi="Times New Roman" w:cs="Times New Roman" w:hint="eastAsia"/>
          <w:bCs/>
          <w:sz w:val="21"/>
          <w:szCs w:val="21"/>
        </w:rPr>
        <w:t>）基金份额的基金份额持有人提名</w:t>
      </w:r>
      <w:r>
        <w:rPr>
          <w:rFonts w:ascii="Times New Roman" w:hAnsi="Times New Roman" w:cs="Times New Roman" w:hint="eastAsia"/>
          <w:color w:val="000000"/>
          <w:sz w:val="21"/>
          <w:szCs w:val="21"/>
        </w:rPr>
        <w:t>；</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w:t>
      </w:r>
      <w:r>
        <w:rPr>
          <w:rFonts w:ascii="Times New Roman" w:hAnsi="Times New Roman" w:cs="Times New Roman"/>
          <w:color w:val="000000"/>
          <w:sz w:val="21"/>
          <w:szCs w:val="21"/>
        </w:rPr>
        <w:t>2</w:t>
      </w:r>
      <w:r>
        <w:rPr>
          <w:rFonts w:ascii="Times New Roman" w:hAnsi="Times New Roman" w:cs="Times New Roman" w:hint="eastAsia"/>
          <w:color w:val="000000"/>
          <w:sz w:val="21"/>
          <w:szCs w:val="21"/>
        </w:rPr>
        <w:t>）决议：基金份额持有人大会在基金管理人职责终止后</w:t>
      </w:r>
      <w:r>
        <w:rPr>
          <w:rFonts w:ascii="Times New Roman" w:hAnsi="Times New Roman" w:cs="Times New Roman"/>
          <w:color w:val="000000"/>
          <w:sz w:val="21"/>
          <w:szCs w:val="21"/>
        </w:rPr>
        <w:t>6</w:t>
      </w:r>
      <w:r>
        <w:rPr>
          <w:rFonts w:ascii="Times New Roman" w:hAnsi="Times New Roman" w:cs="Times New Roman" w:hint="eastAsia"/>
          <w:color w:val="000000"/>
          <w:sz w:val="21"/>
          <w:szCs w:val="21"/>
        </w:rPr>
        <w:t>个月内对被提名的基金管理人形成决议，该决议需经参加大会的基金份额持有人所持表决权的三分之二以上（含三分之二）表决通过</w:t>
      </w:r>
      <w:r>
        <w:rPr>
          <w:rFonts w:ascii="Times New Roman" w:hAnsi="Times New Roman" w:cs="Times New Roman" w:hint="eastAsia"/>
          <w:bCs/>
          <w:sz w:val="21"/>
          <w:szCs w:val="21"/>
        </w:rPr>
        <w:t>，决议自表决通过之日起生效</w:t>
      </w:r>
      <w:r>
        <w:rPr>
          <w:rFonts w:ascii="Times New Roman" w:hAnsi="Times New Roman" w:cs="Times New Roman" w:hint="eastAsia"/>
          <w:color w:val="000000"/>
          <w:sz w:val="21"/>
          <w:szCs w:val="21"/>
        </w:rPr>
        <w:t>；</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w:t>
      </w:r>
      <w:r>
        <w:rPr>
          <w:rFonts w:ascii="Times New Roman" w:hAnsi="Times New Roman" w:cs="Times New Roman"/>
          <w:color w:val="000000"/>
          <w:sz w:val="21"/>
          <w:szCs w:val="21"/>
        </w:rPr>
        <w:t>3</w:t>
      </w:r>
      <w:r>
        <w:rPr>
          <w:rFonts w:ascii="Times New Roman" w:hAnsi="Times New Roman" w:cs="Times New Roman" w:hint="eastAsia"/>
          <w:color w:val="000000"/>
          <w:sz w:val="21"/>
          <w:szCs w:val="21"/>
        </w:rPr>
        <w:t>）临时基金管理人：</w:t>
      </w:r>
      <w:r>
        <w:rPr>
          <w:rFonts w:ascii="Times New Roman" w:hAnsi="Times New Roman" w:cs="Times New Roman" w:hint="eastAsia"/>
          <w:bCs/>
          <w:sz w:val="21"/>
          <w:szCs w:val="21"/>
        </w:rPr>
        <w:t>新任基金管理人产生之前，由中国证监会指定临时基金管理人</w:t>
      </w:r>
      <w:r>
        <w:rPr>
          <w:rFonts w:ascii="Times New Roman" w:hAnsi="Times New Roman" w:cs="Times New Roman" w:hint="eastAsia"/>
          <w:color w:val="000000"/>
          <w:sz w:val="21"/>
          <w:szCs w:val="21"/>
        </w:rPr>
        <w:t>；</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w:t>
      </w:r>
      <w:r>
        <w:rPr>
          <w:rFonts w:ascii="Times New Roman" w:hAnsi="Times New Roman" w:cs="Times New Roman"/>
          <w:color w:val="000000"/>
          <w:sz w:val="21"/>
          <w:szCs w:val="21"/>
        </w:rPr>
        <w:t>4</w:t>
      </w:r>
      <w:r>
        <w:rPr>
          <w:rFonts w:ascii="Times New Roman" w:hAnsi="Times New Roman" w:cs="Times New Roman" w:hint="eastAsia"/>
          <w:color w:val="000000"/>
          <w:sz w:val="21"/>
          <w:szCs w:val="21"/>
        </w:rPr>
        <w:t>）备案：</w:t>
      </w:r>
      <w:r>
        <w:rPr>
          <w:rFonts w:ascii="Times New Roman" w:hAnsi="Times New Roman" w:cs="Times New Roman" w:hint="eastAsia"/>
          <w:sz w:val="21"/>
          <w:szCs w:val="21"/>
        </w:rPr>
        <w:t>基金份额持有人大会更换基金管理人的决议须报中国证监会备案</w:t>
      </w:r>
      <w:r>
        <w:rPr>
          <w:rFonts w:ascii="Times New Roman" w:hAnsi="Times New Roman" w:cs="Times New Roman" w:hint="eastAsia"/>
          <w:color w:val="000000"/>
          <w:sz w:val="21"/>
          <w:szCs w:val="21"/>
        </w:rPr>
        <w:t>；</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w:t>
      </w:r>
      <w:r>
        <w:rPr>
          <w:rFonts w:ascii="Times New Roman" w:hAnsi="Times New Roman" w:cs="Times New Roman"/>
          <w:color w:val="000000"/>
          <w:sz w:val="21"/>
          <w:szCs w:val="21"/>
        </w:rPr>
        <w:t>5</w:t>
      </w:r>
      <w:r>
        <w:rPr>
          <w:rFonts w:ascii="Times New Roman" w:hAnsi="Times New Roman" w:cs="Times New Roman" w:hint="eastAsia"/>
          <w:color w:val="000000"/>
          <w:sz w:val="21"/>
          <w:szCs w:val="21"/>
        </w:rPr>
        <w:t>）公告：基金管理人更换后，由基金托管人在更换基金管理人的基金份额持有人大会决议生效后</w:t>
      </w:r>
      <w:r>
        <w:rPr>
          <w:rFonts w:ascii="Times New Roman" w:hAnsi="Times New Roman" w:cs="Times New Roman"/>
          <w:color w:val="000000"/>
          <w:sz w:val="21"/>
          <w:szCs w:val="21"/>
        </w:rPr>
        <w:t>2</w:t>
      </w:r>
      <w:r>
        <w:rPr>
          <w:rFonts w:ascii="Times New Roman" w:hAnsi="Times New Roman" w:cs="Times New Roman" w:hint="eastAsia"/>
          <w:color w:val="000000"/>
          <w:sz w:val="21"/>
          <w:szCs w:val="21"/>
        </w:rPr>
        <w:t>日内在规定媒介公告；</w:t>
      </w:r>
    </w:p>
    <w:p w:rsidR="00B43A95" w:rsidRDefault="00AB5A93">
      <w:pPr>
        <w:adjustRightInd w:val="0"/>
        <w:snapToGrid w:val="0"/>
        <w:spacing w:line="360" w:lineRule="auto"/>
        <w:ind w:firstLineChars="200" w:firstLine="420"/>
        <w:jc w:val="both"/>
        <w:rPr>
          <w:rFonts w:ascii="Times New Roman" w:hAnsi="Times New Roman" w:cs="Times New Roman"/>
          <w:bCs/>
          <w:color w:val="000000"/>
          <w:sz w:val="21"/>
          <w:szCs w:val="21"/>
        </w:rPr>
      </w:pPr>
      <w:r>
        <w:rPr>
          <w:rFonts w:ascii="Times New Roman" w:hAnsi="Times New Roman" w:cs="Times New Roman" w:hint="eastAsia"/>
          <w:color w:val="000000"/>
          <w:sz w:val="21"/>
          <w:szCs w:val="21"/>
        </w:rPr>
        <w:t>（</w:t>
      </w:r>
      <w:r>
        <w:rPr>
          <w:rFonts w:ascii="Times New Roman" w:hAnsi="Times New Roman" w:cs="Times New Roman"/>
          <w:color w:val="000000"/>
          <w:sz w:val="21"/>
          <w:szCs w:val="21"/>
        </w:rPr>
        <w:t>6</w:t>
      </w:r>
      <w:r>
        <w:rPr>
          <w:rFonts w:ascii="Times New Roman" w:hAnsi="Times New Roman" w:cs="Times New Roman" w:hint="eastAsia"/>
          <w:color w:val="000000"/>
          <w:sz w:val="21"/>
          <w:szCs w:val="21"/>
        </w:rPr>
        <w:t>）</w:t>
      </w:r>
      <w:r>
        <w:rPr>
          <w:rFonts w:ascii="Times New Roman" w:hAnsi="Times New Roman" w:cs="Times New Roman" w:hint="eastAsia"/>
          <w:bCs/>
          <w:sz w:val="21"/>
          <w:szCs w:val="21"/>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净值</w:t>
      </w:r>
      <w:r>
        <w:rPr>
          <w:rFonts w:ascii="Times New Roman" w:hAnsi="Times New Roman" w:cs="Times New Roman" w:hint="eastAsia"/>
          <w:bCs/>
          <w:color w:val="000000"/>
          <w:sz w:val="21"/>
          <w:szCs w:val="21"/>
        </w:rPr>
        <w:t>；</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w:t>
      </w:r>
      <w:r>
        <w:rPr>
          <w:rFonts w:ascii="Times New Roman" w:hAnsi="Times New Roman" w:cs="Times New Roman"/>
          <w:color w:val="000000"/>
          <w:sz w:val="21"/>
          <w:szCs w:val="21"/>
        </w:rPr>
        <w:t>7</w:t>
      </w:r>
      <w:r>
        <w:rPr>
          <w:rFonts w:ascii="Times New Roman" w:hAnsi="Times New Roman" w:cs="Times New Roman" w:hint="eastAsia"/>
          <w:color w:val="000000"/>
          <w:sz w:val="21"/>
          <w:szCs w:val="21"/>
        </w:rPr>
        <w:t>）审计：基金管理人职责终止的，应当按照法律法规规定聘请会计师事务所对基金财产进行审计，并将审计结果予以公告，同时报</w:t>
      </w:r>
      <w:r>
        <w:rPr>
          <w:rFonts w:ascii="Times New Roman" w:hAnsi="Times New Roman" w:cs="Times New Roman" w:hint="eastAsia"/>
          <w:sz w:val="21"/>
          <w:szCs w:val="21"/>
        </w:rPr>
        <w:t>中国证监会</w:t>
      </w:r>
      <w:r>
        <w:rPr>
          <w:rFonts w:ascii="Times New Roman" w:hAnsi="Times New Roman" w:cs="Times New Roman" w:hint="eastAsia"/>
          <w:color w:val="000000"/>
          <w:sz w:val="21"/>
          <w:szCs w:val="21"/>
        </w:rPr>
        <w:t>备案；审计费用由基金财产承担；</w:t>
      </w:r>
    </w:p>
    <w:p w:rsidR="00B43A95" w:rsidRDefault="00AB5A93">
      <w:pPr>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w:t>
      </w:r>
      <w:r>
        <w:rPr>
          <w:rFonts w:ascii="Times New Roman" w:hAnsi="Times New Roman" w:cs="Times New Roman"/>
          <w:color w:val="000000"/>
          <w:sz w:val="21"/>
          <w:szCs w:val="21"/>
        </w:rPr>
        <w:t>8</w:t>
      </w:r>
      <w:r>
        <w:rPr>
          <w:rFonts w:ascii="Times New Roman" w:hAnsi="Times New Roman" w:cs="Times New Roman" w:hint="eastAsia"/>
          <w:color w:val="000000"/>
          <w:sz w:val="21"/>
          <w:szCs w:val="21"/>
        </w:rPr>
        <w:t>）基金名称变更：基金管理人更换后，如果原任或新任基金管理人要求，应按其要求替换或删除基金名称中</w:t>
      </w:r>
      <w:r>
        <w:rPr>
          <w:rFonts w:ascii="Times New Roman" w:hAnsi="Times New Roman" w:cs="Times New Roman" w:hint="eastAsia"/>
          <w:sz w:val="21"/>
          <w:szCs w:val="21"/>
        </w:rPr>
        <w:t>与原基金管理人有关</w:t>
      </w:r>
      <w:r>
        <w:rPr>
          <w:rFonts w:ascii="Times New Roman" w:hAnsi="Times New Roman" w:cs="Times New Roman" w:hint="eastAsia"/>
          <w:color w:val="000000"/>
          <w:sz w:val="21"/>
          <w:szCs w:val="21"/>
        </w:rPr>
        <w:t>的</w:t>
      </w:r>
      <w:r>
        <w:rPr>
          <w:rFonts w:ascii="Times New Roman" w:hAnsi="Times New Roman" w:cs="Times New Roman" w:hint="eastAsia"/>
          <w:sz w:val="21"/>
          <w:szCs w:val="21"/>
        </w:rPr>
        <w:t>名称</w:t>
      </w:r>
      <w:r>
        <w:rPr>
          <w:rFonts w:ascii="Times New Roman" w:hAnsi="Times New Roman" w:cs="Times New Roman" w:hint="eastAsia"/>
          <w:color w:val="000000"/>
          <w:sz w:val="21"/>
          <w:szCs w:val="21"/>
        </w:rPr>
        <w:t>字样。</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（二）基金托管人的更换</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color w:val="000000"/>
          <w:sz w:val="21"/>
          <w:szCs w:val="21"/>
        </w:rPr>
        <w:t>1</w:t>
      </w:r>
      <w:r>
        <w:rPr>
          <w:rFonts w:ascii="Times New Roman" w:hAnsi="Times New Roman" w:cs="Times New Roman" w:hint="eastAsia"/>
          <w:color w:val="000000"/>
          <w:sz w:val="21"/>
          <w:szCs w:val="21"/>
        </w:rPr>
        <w:t>、基金托管人的更换条件</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有下列情形之一的，基金托管人职责终止：</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w:t>
      </w:r>
      <w:r>
        <w:rPr>
          <w:rFonts w:ascii="Times New Roman" w:hAnsi="Times New Roman" w:cs="Times New Roman"/>
          <w:color w:val="000000"/>
          <w:sz w:val="21"/>
          <w:szCs w:val="21"/>
        </w:rPr>
        <w:t>1</w:t>
      </w:r>
      <w:r>
        <w:rPr>
          <w:rFonts w:ascii="Times New Roman" w:hAnsi="Times New Roman" w:cs="Times New Roman" w:hint="eastAsia"/>
          <w:color w:val="000000"/>
          <w:sz w:val="21"/>
          <w:szCs w:val="21"/>
        </w:rPr>
        <w:t>）基金托管人被依法取消基金托管资格；</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w:t>
      </w:r>
      <w:r>
        <w:rPr>
          <w:rFonts w:ascii="Times New Roman" w:hAnsi="Times New Roman" w:cs="Times New Roman"/>
          <w:color w:val="000000"/>
          <w:sz w:val="21"/>
          <w:szCs w:val="21"/>
        </w:rPr>
        <w:t>2</w:t>
      </w:r>
      <w:r>
        <w:rPr>
          <w:rFonts w:ascii="Times New Roman" w:hAnsi="Times New Roman" w:cs="Times New Roman" w:hint="eastAsia"/>
          <w:color w:val="000000"/>
          <w:sz w:val="21"/>
          <w:szCs w:val="21"/>
        </w:rPr>
        <w:t>）基金托管人被基金份额持有人大会解任；</w:t>
      </w:r>
      <w:r>
        <w:rPr>
          <w:rFonts w:ascii="Times New Roman" w:hAnsi="Times New Roman" w:cs="Times New Roman"/>
          <w:color w:val="000000"/>
          <w:sz w:val="21"/>
          <w:szCs w:val="21"/>
        </w:rPr>
        <w:t xml:space="preserve"> </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w:t>
      </w:r>
      <w:r>
        <w:rPr>
          <w:rFonts w:ascii="Times New Roman" w:hAnsi="Times New Roman" w:cs="Times New Roman"/>
          <w:color w:val="000000"/>
          <w:sz w:val="21"/>
          <w:szCs w:val="21"/>
        </w:rPr>
        <w:t>3</w:t>
      </w:r>
      <w:r>
        <w:rPr>
          <w:rFonts w:ascii="Times New Roman" w:hAnsi="Times New Roman" w:cs="Times New Roman" w:hint="eastAsia"/>
          <w:color w:val="000000"/>
          <w:sz w:val="21"/>
          <w:szCs w:val="21"/>
        </w:rPr>
        <w:t>）基金托管人依法解散、被依法撤销或被依法宣告破产；</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w:t>
      </w:r>
      <w:r>
        <w:rPr>
          <w:rFonts w:ascii="Times New Roman" w:hAnsi="Times New Roman" w:cs="Times New Roman"/>
          <w:color w:val="000000"/>
          <w:sz w:val="21"/>
          <w:szCs w:val="21"/>
        </w:rPr>
        <w:t>4</w:t>
      </w:r>
      <w:r>
        <w:rPr>
          <w:rFonts w:ascii="Times New Roman" w:hAnsi="Times New Roman" w:cs="Times New Roman" w:hint="eastAsia"/>
          <w:color w:val="000000"/>
          <w:sz w:val="21"/>
          <w:szCs w:val="21"/>
        </w:rPr>
        <w:t>）法律法规及中国证监会规定的和基金合同约定的其他情形。</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color w:val="000000"/>
          <w:sz w:val="21"/>
          <w:szCs w:val="21"/>
        </w:rPr>
        <w:t>2</w:t>
      </w:r>
      <w:r>
        <w:rPr>
          <w:rFonts w:ascii="Times New Roman" w:hAnsi="Times New Roman" w:cs="Times New Roman" w:hint="eastAsia"/>
          <w:color w:val="000000"/>
          <w:sz w:val="21"/>
          <w:szCs w:val="21"/>
        </w:rPr>
        <w:t>、基金托管人的更换程序</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w:t>
      </w:r>
      <w:r>
        <w:rPr>
          <w:rFonts w:ascii="Times New Roman" w:hAnsi="Times New Roman" w:cs="Times New Roman"/>
          <w:color w:val="000000"/>
          <w:sz w:val="21"/>
          <w:szCs w:val="21"/>
        </w:rPr>
        <w:t>1</w:t>
      </w:r>
      <w:r>
        <w:rPr>
          <w:rFonts w:ascii="Times New Roman" w:hAnsi="Times New Roman" w:cs="Times New Roman" w:hint="eastAsia"/>
          <w:color w:val="000000"/>
          <w:sz w:val="21"/>
          <w:szCs w:val="21"/>
        </w:rPr>
        <w:t>）提名：新任基金托管人由基金管理人</w:t>
      </w:r>
      <w:r>
        <w:rPr>
          <w:rFonts w:ascii="Times New Roman" w:hAnsi="Times New Roman" w:cs="Times New Roman" w:hint="eastAsia"/>
          <w:sz w:val="21"/>
          <w:szCs w:val="21"/>
        </w:rPr>
        <w:t>或由单独或合计持有</w:t>
      </w:r>
      <w:r>
        <w:rPr>
          <w:rFonts w:ascii="Times New Roman" w:hAnsi="Times New Roman" w:cs="Times New Roman"/>
          <w:sz w:val="21"/>
          <w:szCs w:val="21"/>
        </w:rPr>
        <w:t>10%</w:t>
      </w:r>
      <w:r>
        <w:rPr>
          <w:rFonts w:ascii="Times New Roman" w:hAnsi="Times New Roman" w:cs="Times New Roman" w:hint="eastAsia"/>
          <w:sz w:val="21"/>
          <w:szCs w:val="21"/>
        </w:rPr>
        <w:t>以上（含</w:t>
      </w:r>
      <w:r>
        <w:rPr>
          <w:rFonts w:ascii="Times New Roman" w:hAnsi="Times New Roman" w:cs="Times New Roman"/>
          <w:sz w:val="21"/>
          <w:szCs w:val="21"/>
        </w:rPr>
        <w:t>10%</w:t>
      </w:r>
      <w:r>
        <w:rPr>
          <w:rFonts w:ascii="Times New Roman" w:hAnsi="Times New Roman" w:cs="Times New Roman" w:hint="eastAsia"/>
          <w:sz w:val="21"/>
          <w:szCs w:val="21"/>
        </w:rPr>
        <w:t>）基金份额的基金份额持有人</w:t>
      </w:r>
      <w:r>
        <w:rPr>
          <w:rFonts w:ascii="Times New Roman" w:hAnsi="Times New Roman" w:cs="Times New Roman" w:hint="eastAsia"/>
          <w:color w:val="000000"/>
          <w:sz w:val="21"/>
          <w:szCs w:val="21"/>
        </w:rPr>
        <w:t>提名；</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w:t>
      </w:r>
      <w:r>
        <w:rPr>
          <w:rFonts w:ascii="Times New Roman" w:hAnsi="Times New Roman" w:cs="Times New Roman"/>
          <w:color w:val="000000"/>
          <w:sz w:val="21"/>
          <w:szCs w:val="21"/>
        </w:rPr>
        <w:t>2</w:t>
      </w:r>
      <w:r>
        <w:rPr>
          <w:rFonts w:ascii="Times New Roman" w:hAnsi="Times New Roman" w:cs="Times New Roman" w:hint="eastAsia"/>
          <w:color w:val="000000"/>
          <w:sz w:val="21"/>
          <w:szCs w:val="21"/>
        </w:rPr>
        <w:t>）决议：基金份额持有人大会在基金托管人职责终止后</w:t>
      </w:r>
      <w:r>
        <w:rPr>
          <w:rFonts w:ascii="Times New Roman" w:hAnsi="Times New Roman" w:cs="Times New Roman"/>
          <w:color w:val="000000"/>
          <w:sz w:val="21"/>
          <w:szCs w:val="21"/>
        </w:rPr>
        <w:t>6</w:t>
      </w:r>
      <w:r>
        <w:rPr>
          <w:rFonts w:ascii="Times New Roman" w:hAnsi="Times New Roman" w:cs="Times New Roman" w:hint="eastAsia"/>
          <w:color w:val="000000"/>
          <w:sz w:val="21"/>
          <w:szCs w:val="21"/>
        </w:rPr>
        <w:t>个月内对被提名的基金托管人形成决议，该决议需经参加大会的基金份额持有人所持表决权的三分之二以上（含三分之二）表决通过，决议自表决通过之日起生效；</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lastRenderedPageBreak/>
        <w:t>（</w:t>
      </w:r>
      <w:r>
        <w:rPr>
          <w:rFonts w:ascii="Times New Roman" w:hAnsi="Times New Roman" w:cs="Times New Roman"/>
          <w:color w:val="000000"/>
          <w:sz w:val="21"/>
          <w:szCs w:val="21"/>
        </w:rPr>
        <w:t>3</w:t>
      </w:r>
      <w:r>
        <w:rPr>
          <w:rFonts w:ascii="Times New Roman" w:hAnsi="Times New Roman" w:cs="Times New Roman" w:hint="eastAsia"/>
          <w:color w:val="000000"/>
          <w:sz w:val="21"/>
          <w:szCs w:val="21"/>
        </w:rPr>
        <w:t>）临时基金托管人：新任基金托管人产生之前，由中国证监会指定临时基金托管人；</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hint="eastAsia"/>
          <w:sz w:val="21"/>
          <w:szCs w:val="21"/>
        </w:rPr>
        <w:t>（</w:t>
      </w:r>
      <w:r>
        <w:rPr>
          <w:rFonts w:ascii="Times New Roman" w:hAnsi="Times New Roman" w:cs="Times New Roman"/>
          <w:sz w:val="21"/>
          <w:szCs w:val="21"/>
        </w:rPr>
        <w:t>4</w:t>
      </w:r>
      <w:r>
        <w:rPr>
          <w:rFonts w:ascii="Times New Roman" w:hAnsi="Times New Roman" w:cs="Times New Roman" w:hint="eastAsia"/>
          <w:sz w:val="21"/>
          <w:szCs w:val="21"/>
        </w:rPr>
        <w:t>）备案：基金份额持有人大会更换基金托管人的决议须报中国证监会备案</w:t>
      </w:r>
      <w:r>
        <w:rPr>
          <w:rFonts w:ascii="Times New Roman" w:hAnsi="Times New Roman" w:cs="Times New Roman" w:hint="eastAsia"/>
          <w:color w:val="000000"/>
          <w:sz w:val="21"/>
          <w:szCs w:val="21"/>
        </w:rPr>
        <w:t>；</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w:t>
      </w:r>
      <w:r>
        <w:rPr>
          <w:rFonts w:ascii="Times New Roman" w:hAnsi="Times New Roman" w:cs="Times New Roman"/>
          <w:color w:val="000000"/>
          <w:sz w:val="21"/>
          <w:szCs w:val="21"/>
        </w:rPr>
        <w:t>5</w:t>
      </w:r>
      <w:r>
        <w:rPr>
          <w:rFonts w:ascii="Times New Roman" w:hAnsi="Times New Roman" w:cs="Times New Roman" w:hint="eastAsia"/>
          <w:color w:val="000000"/>
          <w:sz w:val="21"/>
          <w:szCs w:val="21"/>
        </w:rPr>
        <w:t>）公告：基金托管人更换后，由基金管理人在更换基金托管人的基金份额持有人大会决议生效后</w:t>
      </w:r>
      <w:r>
        <w:rPr>
          <w:rFonts w:ascii="Times New Roman" w:hAnsi="Times New Roman" w:cs="Times New Roman"/>
          <w:color w:val="000000"/>
          <w:sz w:val="21"/>
          <w:szCs w:val="21"/>
        </w:rPr>
        <w:t>2</w:t>
      </w:r>
      <w:r>
        <w:rPr>
          <w:rFonts w:ascii="Times New Roman" w:hAnsi="Times New Roman" w:cs="Times New Roman" w:hint="eastAsia"/>
          <w:color w:val="000000"/>
          <w:sz w:val="21"/>
          <w:szCs w:val="21"/>
        </w:rPr>
        <w:t>日内在规定媒介公告；</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w:t>
      </w:r>
      <w:r>
        <w:rPr>
          <w:rFonts w:ascii="Times New Roman" w:hAnsi="Times New Roman" w:cs="Times New Roman"/>
          <w:color w:val="000000"/>
          <w:sz w:val="21"/>
          <w:szCs w:val="21"/>
        </w:rPr>
        <w:t>6</w:t>
      </w:r>
      <w:r>
        <w:rPr>
          <w:rFonts w:ascii="Times New Roman" w:hAnsi="Times New Roman" w:cs="Times New Roman" w:hint="eastAsia"/>
          <w:color w:val="000000"/>
          <w:sz w:val="21"/>
          <w:szCs w:val="21"/>
        </w:rPr>
        <w:t>）交接：基金托管人职责终止的，基金托管人应当妥善保管基金财产和基金托管业务资料，及时向临时基金托管人或新任基金托管人办理基金财产和基金托管业务的移交手续，新任基金托管人或者临时基金托管人应当及时接收。新任基金托管人或临时基金托管人应与基</w:t>
      </w:r>
      <w:r>
        <w:rPr>
          <w:rFonts w:ascii="Times New Roman" w:hAnsi="Times New Roman" w:cs="Times New Roman" w:hint="eastAsia"/>
          <w:sz w:val="21"/>
          <w:szCs w:val="21"/>
        </w:rPr>
        <w:t>金管理人核对基金资产总值</w:t>
      </w:r>
      <w:r>
        <w:rPr>
          <w:rFonts w:ascii="Times New Roman" w:hAnsi="Times New Roman" w:cs="Times New Roman" w:hint="eastAsia"/>
          <w:bCs/>
          <w:sz w:val="21"/>
          <w:szCs w:val="21"/>
        </w:rPr>
        <w:t>和净值</w:t>
      </w:r>
      <w:r>
        <w:rPr>
          <w:rFonts w:ascii="Times New Roman" w:hAnsi="Times New Roman" w:cs="Times New Roman" w:hint="eastAsia"/>
          <w:bCs/>
          <w:color w:val="000000"/>
          <w:sz w:val="21"/>
          <w:szCs w:val="21"/>
        </w:rPr>
        <w:t>；</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w:t>
      </w:r>
      <w:r>
        <w:rPr>
          <w:rFonts w:ascii="Times New Roman" w:hAnsi="Times New Roman" w:cs="Times New Roman"/>
          <w:color w:val="000000"/>
          <w:sz w:val="21"/>
          <w:szCs w:val="21"/>
        </w:rPr>
        <w:t>7</w:t>
      </w:r>
      <w:r>
        <w:rPr>
          <w:rFonts w:ascii="Times New Roman" w:hAnsi="Times New Roman" w:cs="Times New Roman" w:hint="eastAsia"/>
          <w:color w:val="000000"/>
          <w:sz w:val="21"/>
          <w:szCs w:val="21"/>
        </w:rPr>
        <w:t>）审计：基金托管人职责终止的，应当按照法律法规规定聘请会计师事务所对基金财产进行审计，并将审计结果予以公告，同时报</w:t>
      </w:r>
      <w:r>
        <w:rPr>
          <w:rFonts w:ascii="Times New Roman" w:hAnsi="Times New Roman" w:cs="Times New Roman" w:hint="eastAsia"/>
          <w:sz w:val="21"/>
          <w:szCs w:val="21"/>
        </w:rPr>
        <w:t>中国证监会</w:t>
      </w:r>
      <w:r>
        <w:rPr>
          <w:rFonts w:ascii="Times New Roman" w:hAnsi="Times New Roman" w:cs="Times New Roman" w:hint="eastAsia"/>
          <w:color w:val="000000"/>
          <w:sz w:val="21"/>
          <w:szCs w:val="21"/>
        </w:rPr>
        <w:t>备案；审计费用由基金财产承担。</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color w:val="000000"/>
          <w:sz w:val="21"/>
          <w:szCs w:val="21"/>
        </w:rPr>
        <w:t>3</w:t>
      </w:r>
      <w:r>
        <w:rPr>
          <w:rFonts w:ascii="Times New Roman" w:hAnsi="Times New Roman" w:cs="Times New Roman" w:hint="eastAsia"/>
          <w:color w:val="000000"/>
          <w:sz w:val="21"/>
          <w:szCs w:val="21"/>
        </w:rPr>
        <w:t>、基金管理人与基金托管人同时更换</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w:t>
      </w:r>
      <w:r>
        <w:rPr>
          <w:rFonts w:ascii="Times New Roman" w:hAnsi="Times New Roman" w:cs="Times New Roman"/>
          <w:color w:val="000000"/>
          <w:sz w:val="21"/>
          <w:szCs w:val="21"/>
        </w:rPr>
        <w:t>1</w:t>
      </w:r>
      <w:r>
        <w:rPr>
          <w:rFonts w:ascii="Times New Roman" w:hAnsi="Times New Roman" w:cs="Times New Roman" w:hint="eastAsia"/>
          <w:color w:val="000000"/>
          <w:sz w:val="21"/>
          <w:szCs w:val="21"/>
        </w:rPr>
        <w:t>）提名：如果基金管理人和基金托管人同时更换，由单独或合计持有基金总份额</w:t>
      </w:r>
      <w:r>
        <w:rPr>
          <w:rFonts w:ascii="Times New Roman" w:hAnsi="Times New Roman" w:cs="Times New Roman"/>
          <w:color w:val="000000"/>
          <w:sz w:val="21"/>
          <w:szCs w:val="21"/>
        </w:rPr>
        <w:t>10%</w:t>
      </w:r>
      <w:r>
        <w:rPr>
          <w:rFonts w:ascii="Times New Roman" w:hAnsi="Times New Roman" w:cs="Times New Roman" w:hint="eastAsia"/>
          <w:color w:val="000000"/>
          <w:sz w:val="21"/>
          <w:szCs w:val="21"/>
        </w:rPr>
        <w:t>以上（含</w:t>
      </w:r>
      <w:r>
        <w:rPr>
          <w:rFonts w:ascii="Times New Roman" w:hAnsi="Times New Roman" w:cs="Times New Roman"/>
          <w:color w:val="000000"/>
          <w:sz w:val="21"/>
          <w:szCs w:val="21"/>
        </w:rPr>
        <w:t>10%</w:t>
      </w:r>
      <w:r>
        <w:rPr>
          <w:rFonts w:ascii="Times New Roman" w:hAnsi="Times New Roman" w:cs="Times New Roman" w:hint="eastAsia"/>
          <w:color w:val="000000"/>
          <w:sz w:val="21"/>
          <w:szCs w:val="21"/>
        </w:rPr>
        <w:t>）的基金份额持有人提名新的基金管理人和基金托管人；</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w:t>
      </w:r>
      <w:r>
        <w:rPr>
          <w:rFonts w:ascii="Times New Roman" w:hAnsi="Times New Roman" w:cs="Times New Roman"/>
          <w:color w:val="000000"/>
          <w:sz w:val="21"/>
          <w:szCs w:val="21"/>
        </w:rPr>
        <w:t>2</w:t>
      </w:r>
      <w:r>
        <w:rPr>
          <w:rFonts w:ascii="Times New Roman" w:hAnsi="Times New Roman" w:cs="Times New Roman" w:hint="eastAsia"/>
          <w:color w:val="000000"/>
          <w:sz w:val="21"/>
          <w:szCs w:val="21"/>
        </w:rPr>
        <w:t>）基金管理人和基金托管人的更换分别按上述程序进行；</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w:t>
      </w:r>
      <w:r>
        <w:rPr>
          <w:rFonts w:ascii="Times New Roman" w:hAnsi="Times New Roman" w:cs="Times New Roman"/>
          <w:color w:val="000000"/>
          <w:sz w:val="21"/>
          <w:szCs w:val="21"/>
        </w:rPr>
        <w:t>3</w:t>
      </w:r>
      <w:r>
        <w:rPr>
          <w:rFonts w:ascii="Times New Roman" w:hAnsi="Times New Roman" w:cs="Times New Roman" w:hint="eastAsia"/>
          <w:color w:val="000000"/>
          <w:sz w:val="21"/>
          <w:szCs w:val="21"/>
        </w:rPr>
        <w:t>）公告：新任基金管理人和新任基金托管人</w:t>
      </w:r>
      <w:r>
        <w:rPr>
          <w:rFonts w:ascii="Times New Roman" w:hAnsi="Times New Roman" w:cs="Times New Roman" w:hint="eastAsia"/>
          <w:sz w:val="21"/>
          <w:szCs w:val="21"/>
        </w:rPr>
        <w:t>应</w:t>
      </w:r>
      <w:r>
        <w:rPr>
          <w:rFonts w:ascii="Times New Roman" w:hAnsi="Times New Roman" w:cs="Times New Roman" w:hint="eastAsia"/>
          <w:color w:val="000000"/>
          <w:sz w:val="21"/>
          <w:szCs w:val="21"/>
        </w:rPr>
        <w:t>在</w:t>
      </w:r>
      <w:r>
        <w:rPr>
          <w:rFonts w:ascii="Times New Roman" w:hAnsi="Times New Roman" w:cs="Times New Roman" w:hint="eastAsia"/>
          <w:sz w:val="21"/>
          <w:szCs w:val="21"/>
        </w:rPr>
        <w:t>更换基金管理人和基金托管人的基金份额持有人大会决议生效后</w:t>
      </w:r>
      <w:r>
        <w:rPr>
          <w:rFonts w:ascii="Times New Roman" w:hAnsi="Times New Roman" w:cs="Times New Roman"/>
          <w:color w:val="000000"/>
          <w:sz w:val="21"/>
          <w:szCs w:val="21"/>
        </w:rPr>
        <w:t>2</w:t>
      </w:r>
      <w:r>
        <w:rPr>
          <w:rFonts w:ascii="Times New Roman" w:hAnsi="Times New Roman" w:cs="Times New Roman" w:hint="eastAsia"/>
          <w:color w:val="000000"/>
          <w:sz w:val="21"/>
          <w:szCs w:val="21"/>
        </w:rPr>
        <w:t>日内在规定媒介上联合公告。</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三）新任或临时基金管理人接收基金管理业务或新任或临时基金托管人接收基金财产和基金托管业务前，原基金管理人或原基金托管人应依据法律法规和《基金合同》的规定继续履行相关职责，并保证不做出对基金份额持有人的利益造成损害的行为。原基金管理人或原基金托管人在继续履行相关职责期间，仍有权按照基金合同的规定收取基金管理费或基金托管费。</w:t>
      </w:r>
    </w:p>
    <w:p w:rsidR="00B43A95" w:rsidRDefault="00AB5A93">
      <w:pPr>
        <w:spacing w:line="360" w:lineRule="auto"/>
        <w:ind w:firstLineChars="200" w:firstLine="420"/>
        <w:jc w:val="both"/>
        <w:rPr>
          <w:rFonts w:ascii="Times New Roman" w:hAnsi="Times New Roman" w:cs="Times New Roman"/>
          <w:bCs/>
          <w:sz w:val="21"/>
          <w:szCs w:val="21"/>
        </w:rPr>
      </w:pPr>
      <w:r>
        <w:rPr>
          <w:rFonts w:ascii="Times New Roman" w:hAnsi="Times New Roman" w:cs="Times New Roman" w:hint="eastAsia"/>
          <w:bCs/>
          <w:sz w:val="21"/>
          <w:szCs w:val="21"/>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B43A95" w:rsidRDefault="00AB5A93">
      <w:pPr>
        <w:pStyle w:val="1"/>
        <w:spacing w:before="100" w:beforeAutospacing="1" w:after="100" w:afterAutospacing="1"/>
        <w:ind w:left="0"/>
        <w:jc w:val="center"/>
        <w:rPr>
          <w:rFonts w:ascii="Times New Roman" w:eastAsia="宋体" w:hAnsi="Times New Roman" w:cs="Times New Roman"/>
          <w:bCs w:val="0"/>
          <w:color w:val="000000" w:themeColor="text1"/>
          <w:kern w:val="2"/>
          <w:sz w:val="21"/>
          <w:szCs w:val="21"/>
          <w:lang w:val="en-US" w:bidi="ar-SA"/>
        </w:rPr>
      </w:pPr>
      <w:bookmarkStart w:id="15" w:name="_Toc516502500"/>
      <w:r>
        <w:rPr>
          <w:rFonts w:ascii="Times New Roman" w:eastAsia="宋体" w:hAnsi="Times New Roman" w:cs="Times New Roman" w:hint="eastAsia"/>
          <w:bCs w:val="0"/>
          <w:color w:val="000000" w:themeColor="text1"/>
          <w:kern w:val="2"/>
          <w:sz w:val="21"/>
          <w:szCs w:val="21"/>
          <w:lang w:val="en-US" w:bidi="ar-SA"/>
        </w:rPr>
        <w:t>十五、禁止行为</w:t>
      </w:r>
      <w:bookmarkEnd w:id="15"/>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托管协议当事人禁止从事的行为，包括但不限于：</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（一）基金管理人、基金托管人将其固有财产或者他人财产混同于基金财产从事证券投资。</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（二）基金管理人不公平地对待其管理的不同基金财产。基金托管人不公平地对待其托管的不同基金财产。</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（三）基金管理人、基金托管人利用基金财产或职务之便为基金份额持有人以外的第三人牟取利益。</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（四）基金管理人、基金托管人向基金份额持有人违规承诺收益或者承担损失。</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lastRenderedPageBreak/>
        <w:t>（五）基金管理人、基金托管人侵占、挪用基金财产。</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（六）基金管理人、基金托管人对泄露因职务便利获取的未公开信息、利用该信息从事或者明示、暗示他人从事相关的交易活动。</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（七）基金管理人、基金托管人玩忽职守，不按照规定履行职责。</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（八）基金管理人在没有充足资金的情况下向基金托管人发出投资指令和付款指令，或违规向基金托管人发出指令。</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（九）基金管理人、基金托管人在行政上、财务上不独立</w:t>
      </w:r>
      <w:r>
        <w:rPr>
          <w:rFonts w:ascii="Times New Roman" w:hAnsi="Times New Roman" w:cs="Times New Roman"/>
          <w:spacing w:val="-4"/>
          <w:sz w:val="21"/>
          <w:szCs w:val="21"/>
        </w:rPr>
        <w:t>，</w:t>
      </w:r>
      <w:r>
        <w:rPr>
          <w:rFonts w:ascii="Times New Roman" w:hAnsi="Times New Roman" w:cs="Times New Roman" w:hint="eastAsia"/>
          <w:spacing w:val="-4"/>
          <w:sz w:val="21"/>
          <w:szCs w:val="21"/>
        </w:rPr>
        <w:t>其高级管理人员和其他从业人员相互兼职。</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（十）基金托管人私自动用或处分基金资产，根据基金管理人的合法指令、《基金合同》或托管协议的规定进行处分的除外。</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（十一）基金财产用于下列投资或者活动：</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1</w:t>
      </w:r>
      <w:r>
        <w:rPr>
          <w:rFonts w:ascii="Times New Roman" w:hAnsi="Times New Roman" w:cs="Times New Roman" w:hint="eastAsia"/>
          <w:spacing w:val="-4"/>
          <w:sz w:val="21"/>
          <w:szCs w:val="21"/>
        </w:rPr>
        <w:t>、</w:t>
      </w:r>
      <w:r>
        <w:rPr>
          <w:rFonts w:ascii="Times New Roman" w:hAnsi="Times New Roman" w:cs="Times New Roman"/>
          <w:spacing w:val="-4"/>
          <w:sz w:val="21"/>
          <w:szCs w:val="21"/>
        </w:rPr>
        <w:t>承销证券；</w:t>
      </w:r>
      <w:r>
        <w:rPr>
          <w:rFonts w:ascii="Times New Roman" w:hAnsi="Times New Roman" w:cs="Times New Roman"/>
          <w:spacing w:val="-4"/>
          <w:sz w:val="21"/>
          <w:szCs w:val="21"/>
        </w:rPr>
        <w:t xml:space="preserve"> </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2</w:t>
      </w:r>
      <w:r>
        <w:rPr>
          <w:rFonts w:ascii="Times New Roman" w:hAnsi="Times New Roman" w:cs="Times New Roman" w:hint="eastAsia"/>
          <w:spacing w:val="-4"/>
          <w:sz w:val="21"/>
          <w:szCs w:val="21"/>
        </w:rPr>
        <w:t>、</w:t>
      </w:r>
      <w:r>
        <w:rPr>
          <w:rFonts w:ascii="Times New Roman" w:hAnsi="Times New Roman" w:cs="Times New Roman"/>
          <w:spacing w:val="-4"/>
          <w:sz w:val="21"/>
          <w:szCs w:val="21"/>
        </w:rPr>
        <w:t>违反规定向他人贷款或者提供担保；</w:t>
      </w:r>
      <w:r>
        <w:rPr>
          <w:rFonts w:ascii="Times New Roman" w:hAnsi="Times New Roman" w:cs="Times New Roman"/>
          <w:spacing w:val="-4"/>
          <w:sz w:val="21"/>
          <w:szCs w:val="21"/>
        </w:rPr>
        <w:t xml:space="preserve"> </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3</w:t>
      </w:r>
      <w:r>
        <w:rPr>
          <w:rFonts w:ascii="Times New Roman" w:hAnsi="Times New Roman" w:cs="Times New Roman" w:hint="eastAsia"/>
          <w:spacing w:val="-4"/>
          <w:sz w:val="21"/>
          <w:szCs w:val="21"/>
        </w:rPr>
        <w:t>、</w:t>
      </w:r>
      <w:r>
        <w:rPr>
          <w:rFonts w:ascii="Times New Roman" w:hAnsi="Times New Roman" w:cs="Times New Roman"/>
          <w:spacing w:val="-4"/>
          <w:sz w:val="21"/>
          <w:szCs w:val="21"/>
        </w:rPr>
        <w:t>从事承担无限责任的投资；</w:t>
      </w:r>
      <w:r>
        <w:rPr>
          <w:rFonts w:ascii="Times New Roman" w:hAnsi="Times New Roman" w:cs="Times New Roman"/>
          <w:spacing w:val="-4"/>
          <w:sz w:val="21"/>
          <w:szCs w:val="21"/>
        </w:rPr>
        <w:t xml:space="preserve"> </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4</w:t>
      </w:r>
      <w:r>
        <w:rPr>
          <w:rFonts w:ascii="Times New Roman" w:hAnsi="Times New Roman" w:cs="Times New Roman" w:hint="eastAsia"/>
          <w:spacing w:val="-4"/>
          <w:sz w:val="21"/>
          <w:szCs w:val="21"/>
        </w:rPr>
        <w:t>、</w:t>
      </w:r>
      <w:r>
        <w:rPr>
          <w:rFonts w:ascii="Times New Roman" w:hAnsi="Times New Roman" w:cs="Times New Roman"/>
          <w:spacing w:val="-4"/>
          <w:sz w:val="21"/>
          <w:szCs w:val="21"/>
        </w:rPr>
        <w:t>买卖其他基金份额，但是中国证监会另有规定的除外；</w:t>
      </w:r>
      <w:r>
        <w:rPr>
          <w:rFonts w:ascii="Times New Roman" w:hAnsi="Times New Roman" w:cs="Times New Roman"/>
          <w:spacing w:val="-4"/>
          <w:sz w:val="21"/>
          <w:szCs w:val="21"/>
        </w:rPr>
        <w:t xml:space="preserve"> </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5</w:t>
      </w:r>
      <w:r>
        <w:rPr>
          <w:rFonts w:ascii="Times New Roman" w:hAnsi="Times New Roman" w:cs="Times New Roman" w:hint="eastAsia"/>
          <w:spacing w:val="-4"/>
          <w:sz w:val="21"/>
          <w:szCs w:val="21"/>
        </w:rPr>
        <w:t>、</w:t>
      </w:r>
      <w:r>
        <w:rPr>
          <w:rFonts w:ascii="Times New Roman" w:hAnsi="Times New Roman" w:cs="Times New Roman"/>
          <w:spacing w:val="-4"/>
          <w:sz w:val="21"/>
          <w:szCs w:val="21"/>
        </w:rPr>
        <w:t>向其基金管理人、基金托管人出资；</w:t>
      </w:r>
      <w:r>
        <w:rPr>
          <w:rFonts w:ascii="Times New Roman" w:hAnsi="Times New Roman" w:cs="Times New Roman"/>
          <w:spacing w:val="-4"/>
          <w:sz w:val="21"/>
          <w:szCs w:val="21"/>
        </w:rPr>
        <w:t xml:space="preserve"> </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6</w:t>
      </w:r>
      <w:r>
        <w:rPr>
          <w:rFonts w:ascii="Times New Roman" w:hAnsi="Times New Roman" w:cs="Times New Roman" w:hint="eastAsia"/>
          <w:spacing w:val="-4"/>
          <w:sz w:val="21"/>
          <w:szCs w:val="21"/>
        </w:rPr>
        <w:t>、</w:t>
      </w:r>
      <w:r>
        <w:rPr>
          <w:rFonts w:ascii="Times New Roman" w:hAnsi="Times New Roman" w:cs="Times New Roman"/>
          <w:spacing w:val="-4"/>
          <w:sz w:val="21"/>
          <w:szCs w:val="21"/>
        </w:rPr>
        <w:t>从事内幕交易、操纵证券交易价格及其他不正当的证券交易活动；</w:t>
      </w:r>
      <w:r>
        <w:rPr>
          <w:rFonts w:ascii="Times New Roman" w:hAnsi="Times New Roman" w:cs="Times New Roman"/>
          <w:spacing w:val="-4"/>
          <w:sz w:val="21"/>
          <w:szCs w:val="21"/>
        </w:rPr>
        <w:t xml:space="preserve"> </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7</w:t>
      </w:r>
      <w:r>
        <w:rPr>
          <w:rFonts w:ascii="Times New Roman" w:hAnsi="Times New Roman" w:cs="Times New Roman" w:hint="eastAsia"/>
          <w:spacing w:val="-4"/>
          <w:sz w:val="21"/>
          <w:szCs w:val="21"/>
        </w:rPr>
        <w:t>、</w:t>
      </w:r>
      <w:r>
        <w:rPr>
          <w:rFonts w:ascii="Times New Roman" w:hAnsi="Times New Roman" w:cs="Times New Roman"/>
          <w:spacing w:val="-4"/>
          <w:sz w:val="21"/>
          <w:szCs w:val="21"/>
        </w:rPr>
        <w:t>法律、行政法规和中国证监会规定禁止的其他活动。</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法律法规或监管部门取消或变更上述禁止性规定的，如适用于本基金，基金管理人在履行适当程序后，则本基金投资不再受上述相关限制或以变更后的规定为准，自动遵守届时有效的法律法规或监管规定。</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（十二）法律法规和《基金合同》禁止的其他行为，以及依照法律、行政法规有关规定，由中国证监会规定禁止基金管理人、基金托管人从事的其他行为。</w:t>
      </w:r>
    </w:p>
    <w:p w:rsidR="00B43A95" w:rsidRDefault="00AB5A93">
      <w:pPr>
        <w:pStyle w:val="1"/>
        <w:spacing w:before="100" w:beforeAutospacing="1" w:after="100" w:afterAutospacing="1"/>
        <w:ind w:left="0"/>
        <w:jc w:val="center"/>
        <w:rPr>
          <w:rFonts w:ascii="Times New Roman" w:eastAsia="宋体" w:hAnsi="Times New Roman" w:cs="Times New Roman"/>
          <w:bCs w:val="0"/>
          <w:color w:val="000000" w:themeColor="text1"/>
          <w:kern w:val="2"/>
          <w:sz w:val="21"/>
          <w:szCs w:val="21"/>
          <w:lang w:val="en-US" w:bidi="ar-SA"/>
        </w:rPr>
      </w:pPr>
      <w:bookmarkStart w:id="16" w:name="_Toc516502501"/>
      <w:r>
        <w:rPr>
          <w:rFonts w:ascii="Times New Roman" w:eastAsia="宋体" w:hAnsi="Times New Roman" w:cs="Times New Roman" w:hint="eastAsia"/>
          <w:bCs w:val="0"/>
          <w:color w:val="000000" w:themeColor="text1"/>
          <w:kern w:val="2"/>
          <w:sz w:val="21"/>
          <w:szCs w:val="21"/>
          <w:lang w:val="en-US" w:bidi="ar-SA"/>
        </w:rPr>
        <w:t>十六、托管协议的变更、终止与基金财产的清算</w:t>
      </w:r>
      <w:bookmarkEnd w:id="16"/>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（一）托管协议的变更程序</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本协议双方当事人经协商一致，可以对协议进行修改。修改后的新协议，其内容不得与基金合同的规定有任何冲突。</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（二）基金托管协议终止的情形</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color w:val="000000"/>
          <w:sz w:val="21"/>
          <w:szCs w:val="21"/>
        </w:rPr>
        <w:t>1</w:t>
      </w:r>
      <w:r>
        <w:rPr>
          <w:rFonts w:ascii="Times New Roman" w:hAnsi="Times New Roman" w:cs="Times New Roman" w:hint="eastAsia"/>
          <w:color w:val="000000"/>
          <w:sz w:val="21"/>
          <w:szCs w:val="21"/>
        </w:rPr>
        <w:t>、基金合同终止；</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color w:val="000000"/>
          <w:sz w:val="21"/>
          <w:szCs w:val="21"/>
        </w:rPr>
        <w:t>2</w:t>
      </w:r>
      <w:r>
        <w:rPr>
          <w:rFonts w:ascii="Times New Roman" w:hAnsi="Times New Roman" w:cs="Times New Roman" w:hint="eastAsia"/>
          <w:color w:val="000000"/>
          <w:sz w:val="21"/>
          <w:szCs w:val="21"/>
        </w:rPr>
        <w:t>、基金托管人解散、依法被撤销、破产或由其他基金托管人接管基金资产；</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color w:val="000000"/>
          <w:sz w:val="21"/>
          <w:szCs w:val="21"/>
        </w:rPr>
        <w:t>3</w:t>
      </w:r>
      <w:r>
        <w:rPr>
          <w:rFonts w:ascii="Times New Roman" w:hAnsi="Times New Roman" w:cs="Times New Roman" w:hint="eastAsia"/>
          <w:color w:val="000000"/>
          <w:sz w:val="21"/>
          <w:szCs w:val="21"/>
        </w:rPr>
        <w:t>、基金管理人解散、依法被撤销、破产或由其他基金管理人接管基金管理权；</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4</w:t>
      </w:r>
      <w:r>
        <w:rPr>
          <w:rFonts w:ascii="Times New Roman" w:hAnsi="Times New Roman" w:cs="Times New Roman" w:hint="eastAsia"/>
          <w:color w:val="000000"/>
          <w:sz w:val="21"/>
          <w:szCs w:val="21"/>
        </w:rPr>
        <w:t>、发生法律法规、中国证监会或基金合同规定的终止事项。</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（三）基金财产的清算</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color w:val="000000"/>
          <w:sz w:val="21"/>
          <w:szCs w:val="21"/>
        </w:rPr>
        <w:t>1</w:t>
      </w:r>
      <w:r>
        <w:rPr>
          <w:rFonts w:ascii="Times New Roman" w:hAnsi="Times New Roman" w:cs="Times New Roman" w:hint="eastAsia"/>
          <w:color w:val="000000"/>
          <w:sz w:val="21"/>
          <w:szCs w:val="21"/>
        </w:rPr>
        <w:t>、基金财产清算小组：自出现《基金合同》终止事由之日起</w:t>
      </w:r>
      <w:r>
        <w:rPr>
          <w:rFonts w:ascii="Times New Roman" w:hAnsi="Times New Roman" w:cs="Times New Roman"/>
          <w:color w:val="000000"/>
          <w:sz w:val="21"/>
          <w:szCs w:val="21"/>
        </w:rPr>
        <w:t>30</w:t>
      </w:r>
      <w:r>
        <w:rPr>
          <w:rFonts w:ascii="Times New Roman" w:hAnsi="Times New Roman" w:cs="Times New Roman" w:hint="eastAsia"/>
          <w:color w:val="000000"/>
          <w:sz w:val="21"/>
          <w:szCs w:val="21"/>
        </w:rPr>
        <w:t>个工作日内成立清算小组，基金管理人组织基金财产清算小组并在中国证监会的监督下进行基金清算。</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color w:val="000000"/>
          <w:sz w:val="21"/>
          <w:szCs w:val="21"/>
        </w:rPr>
        <w:t>2</w:t>
      </w:r>
      <w:r>
        <w:rPr>
          <w:rFonts w:ascii="Times New Roman" w:hAnsi="Times New Roman" w:cs="Times New Roman" w:hint="eastAsia"/>
          <w:color w:val="000000"/>
          <w:sz w:val="21"/>
          <w:szCs w:val="21"/>
        </w:rPr>
        <w:t>、基金财产清算小组组成：基金财产清算小组成员由基金管理人、基金托管人、</w:t>
      </w:r>
      <w:r w:rsidR="00A328E9">
        <w:rPr>
          <w:rFonts w:ascii="Times New Roman" w:hAnsi="Times New Roman" w:cs="Times New Roman" w:hint="eastAsia"/>
          <w:color w:val="000000"/>
          <w:sz w:val="21"/>
          <w:szCs w:val="21"/>
        </w:rPr>
        <w:t>符合《证券法》规定</w:t>
      </w:r>
      <w:r>
        <w:rPr>
          <w:rFonts w:ascii="Times New Roman" w:hAnsi="Times New Roman" w:cs="Times New Roman" w:hint="eastAsia"/>
          <w:color w:val="000000"/>
          <w:sz w:val="21"/>
          <w:szCs w:val="21"/>
        </w:rPr>
        <w:t>的注册会计师、律师以及中国证监会指定的人员组成。基金财产清算小组可以聘用必要的工作人员。</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color w:val="000000"/>
          <w:sz w:val="21"/>
          <w:szCs w:val="21"/>
        </w:rPr>
        <w:t>3</w:t>
      </w:r>
      <w:r>
        <w:rPr>
          <w:rFonts w:ascii="Times New Roman" w:hAnsi="Times New Roman" w:cs="Times New Roman" w:hint="eastAsia"/>
          <w:color w:val="000000"/>
          <w:sz w:val="21"/>
          <w:szCs w:val="21"/>
        </w:rPr>
        <w:t>、基金财产清算小组职责：基金财产清算小组负责基金财产的保管、清理、估价、变现和分配。基金财产清算小组可以依法进行必要的民事活动。</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color w:val="000000"/>
          <w:sz w:val="21"/>
          <w:szCs w:val="21"/>
        </w:rPr>
        <w:t>4</w:t>
      </w:r>
      <w:r>
        <w:rPr>
          <w:rFonts w:ascii="Times New Roman" w:hAnsi="Times New Roman" w:cs="Times New Roman" w:hint="eastAsia"/>
          <w:color w:val="000000"/>
          <w:sz w:val="21"/>
          <w:szCs w:val="21"/>
        </w:rPr>
        <w:t>、基金财产清算程序</w:t>
      </w:r>
    </w:p>
    <w:p w:rsidR="00B43A95" w:rsidRDefault="00AB5A93">
      <w:pPr>
        <w:spacing w:line="360" w:lineRule="auto"/>
        <w:ind w:firstLineChars="200" w:firstLine="420"/>
        <w:jc w:val="both"/>
        <w:rPr>
          <w:rFonts w:ascii="Times New Roman" w:hAnsi="Times New Roman" w:cs="Times New Roman"/>
          <w:bCs/>
          <w:sz w:val="21"/>
          <w:szCs w:val="21"/>
        </w:rPr>
      </w:pPr>
      <w:r>
        <w:rPr>
          <w:rFonts w:ascii="Times New Roman" w:hAnsi="Times New Roman" w:cs="Times New Roman" w:hint="eastAsia"/>
          <w:bCs/>
          <w:sz w:val="21"/>
          <w:szCs w:val="21"/>
        </w:rPr>
        <w:t>（</w:t>
      </w:r>
      <w:r>
        <w:rPr>
          <w:rFonts w:ascii="Times New Roman" w:hAnsi="Times New Roman" w:cs="Times New Roman"/>
          <w:bCs/>
          <w:sz w:val="21"/>
          <w:szCs w:val="21"/>
        </w:rPr>
        <w:t>1</w:t>
      </w:r>
      <w:r>
        <w:rPr>
          <w:rFonts w:ascii="Times New Roman" w:hAnsi="Times New Roman" w:cs="Times New Roman" w:hint="eastAsia"/>
          <w:bCs/>
          <w:sz w:val="21"/>
          <w:szCs w:val="21"/>
        </w:rPr>
        <w:t>）《基金合同》终止情形出现时，由基金财产清算小组统一接管基金；</w:t>
      </w:r>
    </w:p>
    <w:p w:rsidR="00B43A95" w:rsidRDefault="00AB5A93">
      <w:pPr>
        <w:spacing w:line="360" w:lineRule="auto"/>
        <w:ind w:firstLineChars="200" w:firstLine="420"/>
        <w:jc w:val="both"/>
        <w:rPr>
          <w:rFonts w:ascii="Times New Roman" w:hAnsi="Times New Roman" w:cs="Times New Roman"/>
          <w:bCs/>
          <w:sz w:val="21"/>
          <w:szCs w:val="21"/>
        </w:rPr>
      </w:pPr>
      <w:r>
        <w:rPr>
          <w:rFonts w:ascii="Times New Roman" w:hAnsi="Times New Roman" w:cs="Times New Roman" w:hint="eastAsia"/>
          <w:bCs/>
          <w:sz w:val="21"/>
          <w:szCs w:val="21"/>
        </w:rPr>
        <w:t>（</w:t>
      </w:r>
      <w:r>
        <w:rPr>
          <w:rFonts w:ascii="Times New Roman" w:hAnsi="Times New Roman" w:cs="Times New Roman"/>
          <w:bCs/>
          <w:sz w:val="21"/>
          <w:szCs w:val="21"/>
        </w:rPr>
        <w:t>2</w:t>
      </w:r>
      <w:r>
        <w:rPr>
          <w:rFonts w:ascii="Times New Roman" w:hAnsi="Times New Roman" w:cs="Times New Roman" w:hint="eastAsia"/>
          <w:bCs/>
          <w:sz w:val="21"/>
          <w:szCs w:val="21"/>
        </w:rPr>
        <w:t>）对基金财产和债权债务进行清理和确认；</w:t>
      </w:r>
    </w:p>
    <w:p w:rsidR="00B43A95" w:rsidRDefault="00AB5A93">
      <w:pPr>
        <w:spacing w:line="360" w:lineRule="auto"/>
        <w:ind w:firstLineChars="200" w:firstLine="420"/>
        <w:jc w:val="both"/>
        <w:rPr>
          <w:rFonts w:ascii="Times New Roman" w:hAnsi="Times New Roman" w:cs="Times New Roman"/>
          <w:bCs/>
          <w:sz w:val="21"/>
          <w:szCs w:val="21"/>
        </w:rPr>
      </w:pPr>
      <w:r>
        <w:rPr>
          <w:rFonts w:ascii="Times New Roman" w:hAnsi="Times New Roman" w:cs="Times New Roman" w:hint="eastAsia"/>
          <w:bCs/>
          <w:sz w:val="21"/>
          <w:szCs w:val="21"/>
        </w:rPr>
        <w:t>（</w:t>
      </w:r>
      <w:r>
        <w:rPr>
          <w:rFonts w:ascii="Times New Roman" w:hAnsi="Times New Roman" w:cs="Times New Roman"/>
          <w:bCs/>
          <w:sz w:val="21"/>
          <w:szCs w:val="21"/>
        </w:rPr>
        <w:t>3</w:t>
      </w:r>
      <w:r>
        <w:rPr>
          <w:rFonts w:ascii="Times New Roman" w:hAnsi="Times New Roman" w:cs="Times New Roman" w:hint="eastAsia"/>
          <w:bCs/>
          <w:sz w:val="21"/>
          <w:szCs w:val="21"/>
        </w:rPr>
        <w:t>）对基金财产进行估值和变现；</w:t>
      </w:r>
    </w:p>
    <w:p w:rsidR="00B43A95" w:rsidRDefault="00AB5A93">
      <w:pPr>
        <w:spacing w:line="360" w:lineRule="auto"/>
        <w:ind w:firstLineChars="200" w:firstLine="420"/>
        <w:jc w:val="both"/>
        <w:rPr>
          <w:rFonts w:ascii="Times New Roman" w:hAnsi="Times New Roman" w:cs="Times New Roman"/>
          <w:bCs/>
          <w:sz w:val="21"/>
          <w:szCs w:val="21"/>
        </w:rPr>
      </w:pPr>
      <w:r>
        <w:rPr>
          <w:rFonts w:ascii="Times New Roman" w:hAnsi="Times New Roman" w:cs="Times New Roman" w:hint="eastAsia"/>
          <w:bCs/>
          <w:sz w:val="21"/>
          <w:szCs w:val="21"/>
        </w:rPr>
        <w:t>（</w:t>
      </w:r>
      <w:r>
        <w:rPr>
          <w:rFonts w:ascii="Times New Roman" w:hAnsi="Times New Roman" w:cs="Times New Roman"/>
          <w:bCs/>
          <w:sz w:val="21"/>
          <w:szCs w:val="21"/>
        </w:rPr>
        <w:t>4</w:t>
      </w:r>
      <w:r>
        <w:rPr>
          <w:rFonts w:ascii="Times New Roman" w:hAnsi="Times New Roman" w:cs="Times New Roman" w:hint="eastAsia"/>
          <w:bCs/>
          <w:sz w:val="21"/>
          <w:szCs w:val="21"/>
        </w:rPr>
        <w:t>）制作清算报告；</w:t>
      </w:r>
    </w:p>
    <w:p w:rsidR="00B43A95" w:rsidRDefault="00AB5A93">
      <w:pPr>
        <w:spacing w:line="360" w:lineRule="auto"/>
        <w:ind w:firstLineChars="200" w:firstLine="420"/>
        <w:jc w:val="both"/>
        <w:rPr>
          <w:rFonts w:ascii="Times New Roman" w:hAnsi="Times New Roman" w:cs="Times New Roman"/>
          <w:bCs/>
          <w:sz w:val="21"/>
          <w:szCs w:val="21"/>
        </w:rPr>
      </w:pPr>
      <w:r>
        <w:rPr>
          <w:rFonts w:ascii="Times New Roman" w:hAnsi="Times New Roman" w:cs="Times New Roman" w:hint="eastAsia"/>
          <w:bCs/>
          <w:sz w:val="21"/>
          <w:szCs w:val="21"/>
        </w:rPr>
        <w:t>（</w:t>
      </w:r>
      <w:r>
        <w:rPr>
          <w:rFonts w:ascii="Times New Roman" w:hAnsi="Times New Roman" w:cs="Times New Roman"/>
          <w:bCs/>
          <w:sz w:val="21"/>
          <w:szCs w:val="21"/>
        </w:rPr>
        <w:t>5</w:t>
      </w:r>
      <w:r>
        <w:rPr>
          <w:rFonts w:ascii="Times New Roman" w:hAnsi="Times New Roman" w:cs="Times New Roman" w:hint="eastAsia"/>
          <w:bCs/>
          <w:sz w:val="21"/>
          <w:szCs w:val="21"/>
        </w:rPr>
        <w:t>）聘请会计师事务所对清算报告进行外部审计，聘请律师事务所对清算报告出具法律意见书；</w:t>
      </w:r>
    </w:p>
    <w:p w:rsidR="00B43A95" w:rsidRDefault="00AB5A93">
      <w:pPr>
        <w:spacing w:line="360" w:lineRule="auto"/>
        <w:ind w:firstLineChars="200" w:firstLine="420"/>
        <w:jc w:val="both"/>
        <w:rPr>
          <w:rFonts w:ascii="Times New Roman" w:hAnsi="Times New Roman" w:cs="Times New Roman"/>
          <w:bCs/>
          <w:sz w:val="21"/>
          <w:szCs w:val="21"/>
        </w:rPr>
      </w:pPr>
      <w:r>
        <w:rPr>
          <w:rFonts w:ascii="Times New Roman" w:hAnsi="Times New Roman" w:cs="Times New Roman" w:hint="eastAsia"/>
          <w:bCs/>
          <w:sz w:val="21"/>
          <w:szCs w:val="21"/>
        </w:rPr>
        <w:t>（</w:t>
      </w:r>
      <w:r>
        <w:rPr>
          <w:rFonts w:ascii="Times New Roman" w:hAnsi="Times New Roman" w:cs="Times New Roman"/>
          <w:bCs/>
          <w:sz w:val="21"/>
          <w:szCs w:val="21"/>
        </w:rPr>
        <w:t>6</w:t>
      </w:r>
      <w:r>
        <w:rPr>
          <w:rFonts w:ascii="Times New Roman" w:hAnsi="Times New Roman" w:cs="Times New Roman" w:hint="eastAsia"/>
          <w:bCs/>
          <w:sz w:val="21"/>
          <w:szCs w:val="21"/>
        </w:rPr>
        <w:t>）将清算报告报中国证监会备案并公告；</w:t>
      </w:r>
    </w:p>
    <w:p w:rsidR="00B43A95" w:rsidRDefault="00AB5A93">
      <w:pPr>
        <w:spacing w:line="360" w:lineRule="auto"/>
        <w:ind w:firstLineChars="200" w:firstLine="420"/>
        <w:jc w:val="both"/>
        <w:rPr>
          <w:rFonts w:ascii="Times New Roman" w:hAnsi="Times New Roman" w:cs="Times New Roman"/>
          <w:bCs/>
          <w:sz w:val="21"/>
          <w:szCs w:val="21"/>
        </w:rPr>
      </w:pPr>
      <w:r>
        <w:rPr>
          <w:rFonts w:ascii="Times New Roman" w:hAnsi="Times New Roman" w:cs="Times New Roman" w:hint="eastAsia"/>
          <w:bCs/>
          <w:sz w:val="21"/>
          <w:szCs w:val="21"/>
        </w:rPr>
        <w:t>（</w:t>
      </w:r>
      <w:r>
        <w:rPr>
          <w:rFonts w:ascii="Times New Roman" w:hAnsi="Times New Roman" w:cs="Times New Roman"/>
          <w:bCs/>
          <w:sz w:val="21"/>
          <w:szCs w:val="21"/>
        </w:rPr>
        <w:t>7</w:t>
      </w:r>
      <w:r>
        <w:rPr>
          <w:rFonts w:ascii="Times New Roman" w:hAnsi="Times New Roman" w:cs="Times New Roman" w:hint="eastAsia"/>
          <w:bCs/>
          <w:sz w:val="21"/>
          <w:szCs w:val="21"/>
        </w:rPr>
        <w:t>）对基金剩余财产进行分配。</w:t>
      </w:r>
    </w:p>
    <w:p w:rsidR="00B43A95" w:rsidRDefault="00AB5A93">
      <w:pPr>
        <w:spacing w:line="360" w:lineRule="auto"/>
        <w:ind w:firstLineChars="200" w:firstLine="420"/>
        <w:jc w:val="both"/>
        <w:rPr>
          <w:rFonts w:ascii="Times New Roman" w:hAnsi="Times New Roman" w:cs="Times New Roman"/>
          <w:bCs/>
          <w:sz w:val="21"/>
          <w:szCs w:val="21"/>
        </w:rPr>
      </w:pPr>
      <w:r>
        <w:rPr>
          <w:rFonts w:ascii="Times New Roman" w:hAnsi="Times New Roman" w:cs="Times New Roman"/>
          <w:bCs/>
          <w:sz w:val="21"/>
          <w:szCs w:val="21"/>
        </w:rPr>
        <w:t>5</w:t>
      </w:r>
      <w:r>
        <w:rPr>
          <w:rFonts w:ascii="Times New Roman" w:hAnsi="Times New Roman" w:cs="Times New Roman" w:hint="eastAsia"/>
          <w:bCs/>
          <w:sz w:val="21"/>
          <w:szCs w:val="21"/>
        </w:rPr>
        <w:t>、基金财产清算的期限为</w:t>
      </w:r>
      <w:r>
        <w:rPr>
          <w:rFonts w:ascii="Times New Roman" w:hAnsi="Times New Roman" w:cs="Times New Roman"/>
          <w:bCs/>
          <w:sz w:val="21"/>
          <w:szCs w:val="21"/>
        </w:rPr>
        <w:t>6</w:t>
      </w:r>
      <w:r>
        <w:rPr>
          <w:rFonts w:ascii="Times New Roman" w:hAnsi="Times New Roman" w:cs="Times New Roman" w:hint="eastAsia"/>
          <w:bCs/>
          <w:sz w:val="21"/>
          <w:szCs w:val="21"/>
        </w:rPr>
        <w:t>个月，但因本基金所持证券的流动性受到限制而不能及时变现的，清算期限相应顺延。</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color w:val="000000"/>
          <w:sz w:val="21"/>
          <w:szCs w:val="21"/>
        </w:rPr>
        <w:t>6</w:t>
      </w:r>
      <w:r>
        <w:rPr>
          <w:rFonts w:ascii="Times New Roman" w:hAnsi="Times New Roman" w:cs="Times New Roman" w:hint="eastAsia"/>
          <w:color w:val="000000"/>
          <w:sz w:val="21"/>
          <w:szCs w:val="21"/>
        </w:rPr>
        <w:t>、清算费用</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清算费用是指基金财产清算小组在进行基金清算过程中发生的所有合理费用，清算费用由基金财产清算小组优先从基金财产中支付。</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color w:val="000000"/>
          <w:sz w:val="21"/>
          <w:szCs w:val="21"/>
        </w:rPr>
        <w:t>7</w:t>
      </w:r>
      <w:r>
        <w:rPr>
          <w:rFonts w:ascii="Times New Roman" w:hAnsi="Times New Roman" w:cs="Times New Roman" w:hint="eastAsia"/>
          <w:color w:val="000000"/>
          <w:sz w:val="21"/>
          <w:szCs w:val="21"/>
        </w:rPr>
        <w:t>、</w:t>
      </w:r>
      <w:r>
        <w:rPr>
          <w:rFonts w:ascii="Times New Roman" w:hAnsi="Times New Roman" w:cs="Times New Roman" w:hint="eastAsia"/>
          <w:bCs/>
          <w:sz w:val="21"/>
          <w:szCs w:val="21"/>
        </w:rPr>
        <w:t>基金财产清算剩余资产的分配</w:t>
      </w:r>
    </w:p>
    <w:p w:rsidR="00B43A95" w:rsidRDefault="00AB5A93">
      <w:pPr>
        <w:spacing w:line="360" w:lineRule="auto"/>
        <w:ind w:firstLineChars="200" w:firstLine="420"/>
        <w:jc w:val="both"/>
        <w:rPr>
          <w:rFonts w:ascii="Times New Roman" w:hAnsi="Times New Roman" w:cs="Times New Roman"/>
          <w:bCs/>
          <w:sz w:val="21"/>
          <w:szCs w:val="21"/>
        </w:rPr>
      </w:pPr>
      <w:r>
        <w:rPr>
          <w:rFonts w:ascii="Times New Roman" w:hAnsi="Times New Roman" w:cs="Times New Roman" w:hint="eastAsia"/>
          <w:bCs/>
          <w:sz w:val="21"/>
          <w:szCs w:val="21"/>
        </w:rPr>
        <w:t>依据基金财产清算的分配方案，将基金财产清算后的全部剩余资产扣除基金财产清算费用、交纳所欠税款并清偿基金债务后，按基金份额持有人持有的基金份额比例进行分配。</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color w:val="000000"/>
          <w:sz w:val="21"/>
          <w:szCs w:val="21"/>
        </w:rPr>
        <w:t>8</w:t>
      </w:r>
      <w:r>
        <w:rPr>
          <w:rFonts w:ascii="Times New Roman" w:hAnsi="Times New Roman" w:cs="Times New Roman" w:hint="eastAsia"/>
          <w:color w:val="000000"/>
          <w:sz w:val="21"/>
          <w:szCs w:val="21"/>
        </w:rPr>
        <w:t>、基金财产清算的公告</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由基金财产清算小组进行公告。</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color w:val="000000"/>
          <w:sz w:val="21"/>
          <w:szCs w:val="21"/>
        </w:rPr>
        <w:t>9</w:t>
      </w:r>
      <w:r>
        <w:rPr>
          <w:rFonts w:ascii="Times New Roman" w:hAnsi="Times New Roman" w:cs="Times New Roman" w:hint="eastAsia"/>
          <w:color w:val="000000"/>
          <w:sz w:val="21"/>
          <w:szCs w:val="21"/>
        </w:rPr>
        <w:t>、基金财产清算账册及文件的保存</w:t>
      </w:r>
    </w:p>
    <w:p w:rsidR="00B43A95" w:rsidRDefault="00AB5A93">
      <w:pPr>
        <w:adjustRightInd w:val="0"/>
        <w:snapToGrid w:val="0"/>
        <w:spacing w:line="360" w:lineRule="auto"/>
        <w:ind w:firstLineChars="200" w:firstLine="420"/>
        <w:jc w:val="both"/>
        <w:rPr>
          <w:rFonts w:ascii="Times New Roman" w:hAnsi="Times New Roman" w:cs="Times New Roman"/>
          <w:color w:val="000000"/>
          <w:sz w:val="21"/>
          <w:szCs w:val="21"/>
        </w:rPr>
      </w:pPr>
      <w:r>
        <w:rPr>
          <w:rFonts w:ascii="Times New Roman" w:hAnsi="Times New Roman" w:cs="Times New Roman" w:hint="eastAsia"/>
          <w:bCs/>
          <w:sz w:val="21"/>
          <w:szCs w:val="21"/>
        </w:rPr>
        <w:t>基金财产清算账册及有关文件由基金托管人保存，保存期限不低于法律法规规定的最低年限</w:t>
      </w:r>
      <w:r>
        <w:rPr>
          <w:rFonts w:ascii="Times New Roman" w:hAnsi="Times New Roman" w:cs="Times New Roman" w:hint="eastAsia"/>
          <w:color w:val="000000"/>
          <w:sz w:val="21"/>
          <w:szCs w:val="21"/>
        </w:rPr>
        <w:t>。</w:t>
      </w:r>
    </w:p>
    <w:p w:rsidR="00B43A95" w:rsidRDefault="00AB5A93">
      <w:pPr>
        <w:pStyle w:val="1"/>
        <w:spacing w:before="100" w:beforeAutospacing="1" w:after="100" w:afterAutospacing="1"/>
        <w:ind w:left="0"/>
        <w:jc w:val="center"/>
        <w:rPr>
          <w:rFonts w:ascii="Times New Roman" w:eastAsia="宋体" w:hAnsi="Times New Roman" w:cs="Times New Roman"/>
          <w:bCs w:val="0"/>
          <w:color w:val="000000" w:themeColor="text1"/>
          <w:kern w:val="2"/>
          <w:sz w:val="21"/>
          <w:szCs w:val="21"/>
          <w:lang w:val="en-US" w:bidi="ar-SA"/>
        </w:rPr>
      </w:pPr>
      <w:bookmarkStart w:id="17" w:name="_Toc516502502"/>
      <w:r>
        <w:rPr>
          <w:rFonts w:ascii="Times New Roman" w:eastAsia="宋体" w:hAnsi="Times New Roman" w:cs="Times New Roman" w:hint="eastAsia"/>
          <w:bCs w:val="0"/>
          <w:color w:val="000000" w:themeColor="text1"/>
          <w:kern w:val="2"/>
          <w:sz w:val="21"/>
          <w:szCs w:val="21"/>
          <w:lang w:val="en-US" w:bidi="ar-SA"/>
        </w:rPr>
        <w:lastRenderedPageBreak/>
        <w:t>十七、违约责任</w:t>
      </w:r>
      <w:bookmarkEnd w:id="17"/>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（一）基金管理人、基金托管人不履行本协议或履行本协议不符合约定的，应当承担违约责任。</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二）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（三）当事人违约，给另一方当事人造成损失的，应就直接损失进行赔偿；给基金资产造成损失的，应就直接损失进行赔偿，另一方当事人有权利及义务代表基金向违约方追偿。如发生下列情况</w:t>
      </w:r>
      <w:r>
        <w:rPr>
          <w:rFonts w:ascii="Times New Roman" w:hAnsi="Times New Roman" w:cs="Times New Roman" w:hint="eastAsia"/>
          <w:spacing w:val="-4"/>
          <w:sz w:val="21"/>
          <w:szCs w:val="21"/>
          <w:lang w:val="en-US"/>
        </w:rPr>
        <w:t>之一的</w:t>
      </w:r>
      <w:r>
        <w:rPr>
          <w:rFonts w:ascii="Times New Roman" w:hAnsi="Times New Roman" w:cs="Times New Roman" w:hint="eastAsia"/>
          <w:spacing w:val="-4"/>
          <w:sz w:val="21"/>
          <w:szCs w:val="21"/>
        </w:rPr>
        <w:t>，相应的当事人应当免责：</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1</w:t>
      </w:r>
      <w:r>
        <w:rPr>
          <w:rFonts w:ascii="Times New Roman" w:hAnsi="Times New Roman" w:cs="Times New Roman" w:hint="eastAsia"/>
          <w:spacing w:val="-4"/>
          <w:sz w:val="21"/>
          <w:szCs w:val="21"/>
        </w:rPr>
        <w:t>、不可抗力；</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2</w:t>
      </w:r>
      <w:r>
        <w:rPr>
          <w:rFonts w:ascii="Times New Roman" w:hAnsi="Times New Roman" w:cs="Times New Roman" w:hint="eastAsia"/>
          <w:spacing w:val="-4"/>
          <w:sz w:val="21"/>
          <w:szCs w:val="21"/>
        </w:rPr>
        <w:t>、基金管理人和</w:t>
      </w:r>
      <w:r>
        <w:rPr>
          <w:rFonts w:ascii="Times New Roman" w:hAnsi="Times New Roman" w:cs="Times New Roman"/>
          <w:spacing w:val="-4"/>
          <w:sz w:val="21"/>
          <w:szCs w:val="21"/>
        </w:rPr>
        <w:t>/</w:t>
      </w:r>
      <w:r>
        <w:rPr>
          <w:rFonts w:ascii="Times New Roman" w:hAnsi="Times New Roman" w:cs="Times New Roman" w:hint="eastAsia"/>
          <w:spacing w:val="-4"/>
          <w:sz w:val="21"/>
          <w:szCs w:val="21"/>
        </w:rPr>
        <w:t>或基金托管人按照当时有效的法律法规或中国证监会的规定作为或不作为而造成的损失等；</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spacing w:val="-4"/>
          <w:sz w:val="21"/>
          <w:szCs w:val="21"/>
        </w:rPr>
        <w:t>3</w:t>
      </w:r>
      <w:r>
        <w:rPr>
          <w:rFonts w:ascii="Times New Roman" w:hAnsi="Times New Roman" w:cs="Times New Roman" w:hint="eastAsia"/>
          <w:spacing w:val="-4"/>
          <w:sz w:val="21"/>
          <w:szCs w:val="21"/>
        </w:rPr>
        <w:t>、基金管理人由于按照基金合同规定的投资原则而行使或不行使其投资权而造成的损失等。</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四）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B43A95" w:rsidRDefault="00AB5A93">
      <w:pPr>
        <w:pStyle w:val="1"/>
        <w:spacing w:before="100" w:beforeAutospacing="1" w:after="100" w:afterAutospacing="1"/>
        <w:ind w:left="0"/>
        <w:jc w:val="center"/>
        <w:rPr>
          <w:rFonts w:ascii="Times New Roman" w:eastAsia="宋体" w:hAnsi="Times New Roman" w:cs="Times New Roman"/>
          <w:bCs w:val="0"/>
          <w:color w:val="000000" w:themeColor="text1"/>
          <w:kern w:val="2"/>
          <w:sz w:val="21"/>
          <w:szCs w:val="21"/>
          <w:lang w:val="en-US" w:bidi="ar-SA"/>
        </w:rPr>
      </w:pPr>
      <w:bookmarkStart w:id="18" w:name="_Toc516502503"/>
      <w:r>
        <w:rPr>
          <w:rFonts w:ascii="Times New Roman" w:eastAsia="宋体" w:hAnsi="Times New Roman" w:cs="Times New Roman" w:hint="eastAsia"/>
          <w:bCs w:val="0"/>
          <w:color w:val="000000" w:themeColor="text1"/>
          <w:kern w:val="2"/>
          <w:sz w:val="21"/>
          <w:szCs w:val="21"/>
          <w:lang w:val="en-US" w:bidi="ar-SA"/>
        </w:rPr>
        <w:t>十八、争议解决方式</w:t>
      </w:r>
      <w:bookmarkEnd w:id="18"/>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因本协议产生或与之相关的争议，双方当事人应通过协商、调解解决，协商、如经友好协商未能解决的，任何一方均有权提交广州仲裁委员会，根据该会届时有效的仲裁规则按照普通程序进行仲裁，仲裁地点为广州市，仲裁裁决是终局性的并对各方当事人具有约束力，除非仲裁裁决另有规定，仲裁费由败诉方承担。</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争议处理期间，双方当事人应恪守基金管理人和基金托管人职责，各自继续忠实、勤勉、尽</w:t>
      </w:r>
      <w:r>
        <w:rPr>
          <w:rFonts w:ascii="Times New Roman" w:hAnsi="Times New Roman" w:cs="Times New Roman" w:hint="eastAsia"/>
          <w:spacing w:val="-4"/>
          <w:sz w:val="21"/>
          <w:szCs w:val="21"/>
        </w:rPr>
        <w:lastRenderedPageBreak/>
        <w:t>责地履行《基金合同》和本托管协议规定的义务，维护基金份额持有人的合法权益。</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本协议受中国法律（为本协议之目的，不包括香港特别行政区、澳门特别行政区和台湾地区法律）管辖并从其解释。</w:t>
      </w:r>
    </w:p>
    <w:p w:rsidR="00B43A95" w:rsidRDefault="00AB5A93">
      <w:pPr>
        <w:pStyle w:val="1"/>
        <w:spacing w:before="100" w:beforeAutospacing="1" w:after="100" w:afterAutospacing="1"/>
        <w:ind w:left="0"/>
        <w:jc w:val="center"/>
        <w:rPr>
          <w:rFonts w:ascii="Times New Roman" w:eastAsia="宋体" w:hAnsi="Times New Roman" w:cs="Times New Roman"/>
          <w:bCs w:val="0"/>
          <w:color w:val="000000" w:themeColor="text1"/>
          <w:kern w:val="2"/>
          <w:sz w:val="21"/>
          <w:szCs w:val="21"/>
          <w:lang w:val="en-US" w:bidi="ar-SA"/>
        </w:rPr>
      </w:pPr>
      <w:bookmarkStart w:id="19" w:name="_Toc516502504"/>
      <w:r>
        <w:rPr>
          <w:rFonts w:ascii="Times New Roman" w:eastAsia="宋体" w:hAnsi="Times New Roman" w:cs="Times New Roman" w:hint="eastAsia"/>
          <w:bCs w:val="0"/>
          <w:color w:val="000000" w:themeColor="text1"/>
          <w:kern w:val="2"/>
          <w:sz w:val="21"/>
          <w:szCs w:val="21"/>
          <w:lang w:val="en-US" w:bidi="ar-SA"/>
        </w:rPr>
        <w:t>十九、托管协议的效力</w:t>
      </w:r>
      <w:bookmarkEnd w:id="19"/>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双方对托管协议的效力约定如下：</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一）基金管理人在向中国证监会申请注册本基金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（二）托管协议自《基金合同》成立之日起成立，自《基金合同》生效之日起生效。托管协议的有效期自其生效之日起至该基金财产清算报告报中国证监会备案并公告之日止。</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（三）托管协议自生效之日对托管协议当事人具有同等的法律约束力。</w:t>
      </w:r>
    </w:p>
    <w:p w:rsidR="00B43A95" w:rsidRDefault="00AB5A93">
      <w:pPr>
        <w:spacing w:line="360" w:lineRule="auto"/>
        <w:ind w:firstLineChars="200" w:firstLine="412"/>
        <w:jc w:val="both"/>
        <w:rPr>
          <w:rFonts w:ascii="Times New Roman" w:hAnsi="Times New Roman" w:cs="Times New Roman"/>
          <w:spacing w:val="-4"/>
          <w:sz w:val="21"/>
          <w:szCs w:val="21"/>
        </w:rPr>
      </w:pPr>
      <w:bookmarkStart w:id="20" w:name="_Toc516502505"/>
      <w:r>
        <w:rPr>
          <w:rFonts w:ascii="Times New Roman" w:hAnsi="Times New Roman" w:cs="Times New Roman" w:hint="eastAsia"/>
          <w:spacing w:val="-4"/>
          <w:sz w:val="21"/>
          <w:szCs w:val="21"/>
        </w:rPr>
        <w:t>（四）本协议一式三份，协议双方各持一份，上报有关监管部门一份，每份具有同等法律效力。</w:t>
      </w:r>
    </w:p>
    <w:p w:rsidR="00B43A95" w:rsidRDefault="00AB5A93">
      <w:pPr>
        <w:pStyle w:val="1"/>
        <w:spacing w:before="100" w:beforeAutospacing="1" w:after="100" w:afterAutospacing="1"/>
        <w:ind w:left="0"/>
        <w:jc w:val="center"/>
        <w:rPr>
          <w:rFonts w:ascii="Times New Roman" w:eastAsia="宋体" w:hAnsi="Times New Roman" w:cs="Times New Roman"/>
          <w:bCs w:val="0"/>
          <w:color w:val="000000" w:themeColor="text1"/>
          <w:kern w:val="2"/>
          <w:sz w:val="21"/>
          <w:szCs w:val="21"/>
          <w:lang w:val="en-US" w:bidi="ar-SA"/>
        </w:rPr>
      </w:pPr>
      <w:r>
        <w:rPr>
          <w:rFonts w:ascii="Times New Roman" w:eastAsia="宋体" w:hAnsi="Times New Roman" w:cs="Times New Roman" w:hint="eastAsia"/>
          <w:bCs w:val="0"/>
          <w:color w:val="000000" w:themeColor="text1"/>
          <w:kern w:val="2"/>
          <w:sz w:val="21"/>
          <w:szCs w:val="21"/>
          <w:lang w:val="en-US" w:bidi="ar-SA"/>
        </w:rPr>
        <w:t>二十、其他事项</w:t>
      </w:r>
      <w:bookmarkEnd w:id="20"/>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如发生有权司法机关依法冻结基金份额持有人的基金份额时，基金管理人应予以配合，承担司法协助义务。</w:t>
      </w:r>
    </w:p>
    <w:p w:rsidR="00B43A95" w:rsidRDefault="00AB5A93">
      <w:pPr>
        <w:spacing w:line="360" w:lineRule="auto"/>
        <w:ind w:firstLineChars="200" w:firstLine="412"/>
        <w:jc w:val="both"/>
        <w:rPr>
          <w:rFonts w:ascii="Times New Roman" w:hAnsi="Times New Roman" w:cs="Times New Roman"/>
          <w:spacing w:val="-4"/>
          <w:sz w:val="21"/>
          <w:szCs w:val="21"/>
        </w:rPr>
      </w:pPr>
      <w:r>
        <w:rPr>
          <w:rFonts w:ascii="Times New Roman" w:hAnsi="Times New Roman" w:cs="Times New Roman" w:hint="eastAsia"/>
          <w:spacing w:val="-4"/>
          <w:sz w:val="21"/>
          <w:szCs w:val="21"/>
        </w:rPr>
        <w:t>除本协议有明确定义外，本协议的用语定义适用《基金合同》的约定。本协议未尽事宜，当事人依据《基金合同》、有关法律法规等规定协商办理。</w:t>
      </w:r>
    </w:p>
    <w:p w:rsidR="00B43A95" w:rsidRDefault="00AB5A93">
      <w:pPr>
        <w:pStyle w:val="1"/>
        <w:spacing w:before="100" w:beforeAutospacing="1" w:after="100" w:afterAutospacing="1"/>
        <w:ind w:left="0"/>
        <w:jc w:val="center"/>
        <w:rPr>
          <w:rFonts w:ascii="Times New Roman" w:eastAsia="宋体" w:hAnsi="Times New Roman" w:cs="Times New Roman"/>
          <w:bCs w:val="0"/>
          <w:color w:val="000000" w:themeColor="text1"/>
          <w:kern w:val="2"/>
          <w:sz w:val="21"/>
          <w:szCs w:val="21"/>
          <w:lang w:val="en-US" w:bidi="ar-SA"/>
        </w:rPr>
      </w:pPr>
      <w:bookmarkStart w:id="21" w:name="_Toc516502506"/>
      <w:r>
        <w:rPr>
          <w:rFonts w:ascii="Times New Roman" w:eastAsia="宋体" w:hAnsi="Times New Roman" w:cs="Times New Roman" w:hint="eastAsia"/>
          <w:bCs w:val="0"/>
          <w:color w:val="000000" w:themeColor="text1"/>
          <w:kern w:val="2"/>
          <w:sz w:val="21"/>
          <w:szCs w:val="21"/>
          <w:lang w:val="en-US" w:bidi="ar-SA"/>
        </w:rPr>
        <w:t>二十一、托管协议的签订</w:t>
      </w:r>
      <w:bookmarkEnd w:id="21"/>
    </w:p>
    <w:p w:rsidR="00B43A95" w:rsidRDefault="00AB5A93">
      <w:pPr>
        <w:spacing w:line="360" w:lineRule="auto"/>
        <w:ind w:firstLineChars="200" w:firstLine="412"/>
        <w:jc w:val="both"/>
        <w:rPr>
          <w:rFonts w:ascii="Times New Roman" w:hAnsi="Times New Roman"/>
          <w:spacing w:val="-4"/>
          <w:sz w:val="21"/>
          <w:szCs w:val="21"/>
          <w:lang w:val="en-US"/>
        </w:rPr>
      </w:pPr>
      <w:r>
        <w:rPr>
          <w:rFonts w:ascii="Times New Roman" w:hAnsi="Times New Roman" w:cs="Times New Roman" w:hint="eastAsia"/>
          <w:spacing w:val="-4"/>
          <w:sz w:val="21"/>
          <w:szCs w:val="21"/>
        </w:rPr>
        <w:t>以下无正文，为本协议双方法定代表人或授权代表人签章、签订地、签订日。</w:t>
      </w:r>
    </w:p>
    <w:p w:rsidR="00B43A95" w:rsidRDefault="00AB5A93">
      <w:pPr>
        <w:rPr>
          <w:rFonts w:ascii="Times New Roman" w:hAnsi="Times New Roman" w:cs="Times New Roman"/>
          <w:spacing w:val="-4"/>
          <w:sz w:val="21"/>
          <w:szCs w:val="21"/>
          <w:lang w:val="en-US"/>
        </w:rPr>
      </w:pPr>
      <w:r>
        <w:rPr>
          <w:rFonts w:ascii="Times New Roman" w:hAnsi="Times New Roman" w:cs="Times New Roman"/>
          <w:spacing w:val="-4"/>
          <w:sz w:val="21"/>
          <w:szCs w:val="21"/>
          <w:lang w:val="en-US"/>
        </w:rPr>
        <w:br w:type="page"/>
      </w:r>
    </w:p>
    <w:p w:rsidR="00B43A95" w:rsidRDefault="00AB5A93">
      <w:pPr>
        <w:spacing w:line="276" w:lineRule="auto"/>
        <w:ind w:right="26" w:firstLineChars="200" w:firstLine="480"/>
        <w:jc w:val="both"/>
        <w:rPr>
          <w:rFonts w:ascii="Times New Roman" w:hAnsi="Times New Roman"/>
          <w:color w:val="000000" w:themeColor="text1"/>
          <w:sz w:val="24"/>
        </w:rPr>
      </w:pPr>
      <w:r>
        <w:rPr>
          <w:rFonts w:ascii="Times New Roman" w:hAnsi="Times New Roman"/>
          <w:color w:val="000000" w:themeColor="text1"/>
          <w:sz w:val="24"/>
        </w:rPr>
        <w:lastRenderedPageBreak/>
        <w:t>本页无正文，为《</w:t>
      </w:r>
      <w:r>
        <w:rPr>
          <w:rFonts w:ascii="Times New Roman" w:hAnsi="Times New Roman" w:hint="eastAsia"/>
          <w:color w:val="000000" w:themeColor="text1"/>
          <w:sz w:val="24"/>
        </w:rPr>
        <w:t>广发上证</w:t>
      </w:r>
      <w:r>
        <w:rPr>
          <w:rFonts w:ascii="Times New Roman" w:hAnsi="Times New Roman" w:hint="eastAsia"/>
          <w:color w:val="000000" w:themeColor="text1"/>
          <w:sz w:val="24"/>
        </w:rPr>
        <w:t>AAA</w:t>
      </w:r>
      <w:r>
        <w:rPr>
          <w:rFonts w:ascii="Times New Roman" w:hAnsi="Times New Roman" w:hint="eastAsia"/>
          <w:color w:val="000000" w:themeColor="text1"/>
          <w:sz w:val="24"/>
        </w:rPr>
        <w:t>科技创新公司债交易型开放式指数证券投资基金</w:t>
      </w:r>
      <w:r>
        <w:rPr>
          <w:rFonts w:ascii="Times New Roman" w:hAnsi="Times New Roman"/>
          <w:color w:val="000000" w:themeColor="text1"/>
          <w:sz w:val="24"/>
        </w:rPr>
        <w:t>托管协议》</w:t>
      </w:r>
      <w:r>
        <w:rPr>
          <w:rFonts w:ascii="Times New Roman" w:hAnsi="Times New Roman" w:hint="eastAsia"/>
          <w:color w:val="000000" w:themeColor="text1"/>
          <w:sz w:val="24"/>
        </w:rPr>
        <w:t>签署</w:t>
      </w:r>
      <w:r>
        <w:rPr>
          <w:rFonts w:ascii="Times New Roman" w:hAnsi="Times New Roman"/>
          <w:color w:val="000000" w:themeColor="text1"/>
          <w:sz w:val="24"/>
        </w:rPr>
        <w:t>页。</w:t>
      </w:r>
    </w:p>
    <w:p w:rsidR="00B43A95" w:rsidRDefault="00B43A95">
      <w:pPr>
        <w:jc w:val="both"/>
        <w:rPr>
          <w:rFonts w:ascii="Times New Roman" w:hAnsi="Times New Roman"/>
          <w:spacing w:val="-4"/>
          <w:sz w:val="24"/>
          <w:szCs w:val="24"/>
        </w:rPr>
      </w:pPr>
    </w:p>
    <w:p w:rsidR="00B43A95" w:rsidRDefault="00B43A95">
      <w:pPr>
        <w:jc w:val="both"/>
        <w:rPr>
          <w:rFonts w:ascii="Times New Roman" w:hAnsi="Times New Roman"/>
          <w:spacing w:val="-4"/>
          <w:sz w:val="24"/>
          <w:szCs w:val="24"/>
        </w:rPr>
      </w:pPr>
    </w:p>
    <w:p w:rsidR="00B43A95" w:rsidRDefault="00B43A95">
      <w:pPr>
        <w:jc w:val="both"/>
        <w:rPr>
          <w:rFonts w:ascii="Times New Roman" w:hAnsi="Times New Roman"/>
          <w:spacing w:val="-4"/>
          <w:sz w:val="24"/>
          <w:szCs w:val="24"/>
        </w:rPr>
      </w:pPr>
    </w:p>
    <w:p w:rsidR="00B43A95" w:rsidRDefault="00B43A95">
      <w:pPr>
        <w:jc w:val="both"/>
        <w:rPr>
          <w:rFonts w:ascii="Times New Roman" w:hAnsi="Times New Roman"/>
          <w:spacing w:val="-4"/>
          <w:sz w:val="24"/>
          <w:szCs w:val="24"/>
        </w:rPr>
      </w:pPr>
    </w:p>
    <w:p w:rsidR="00B43A95" w:rsidRDefault="00AB5A93">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基金管理人：</w:t>
      </w:r>
      <w:r>
        <w:rPr>
          <w:rFonts w:ascii="Times New Roman" w:hAnsi="Times New Roman" w:hint="eastAsia"/>
          <w:spacing w:val="-4"/>
          <w:sz w:val="24"/>
          <w:szCs w:val="24"/>
        </w:rPr>
        <w:t>广发基金管理有限公司（盖章）</w:t>
      </w:r>
    </w:p>
    <w:p w:rsidR="00B43A95" w:rsidRDefault="00B43A95">
      <w:pPr>
        <w:spacing w:line="360" w:lineRule="auto"/>
        <w:ind w:firstLineChars="200" w:firstLine="472"/>
        <w:jc w:val="both"/>
        <w:rPr>
          <w:rFonts w:ascii="Times New Roman" w:hAnsi="Times New Roman"/>
          <w:spacing w:val="-4"/>
          <w:sz w:val="24"/>
          <w:szCs w:val="24"/>
        </w:rPr>
      </w:pPr>
    </w:p>
    <w:p w:rsidR="00B43A95" w:rsidRDefault="00B43A95">
      <w:pPr>
        <w:spacing w:line="360" w:lineRule="auto"/>
        <w:ind w:firstLineChars="200" w:firstLine="472"/>
        <w:jc w:val="both"/>
        <w:rPr>
          <w:rFonts w:ascii="Times New Roman" w:hAnsi="Times New Roman"/>
          <w:spacing w:val="-4"/>
          <w:sz w:val="24"/>
          <w:szCs w:val="24"/>
        </w:rPr>
      </w:pPr>
    </w:p>
    <w:p w:rsidR="00B43A95" w:rsidRDefault="00B43A95">
      <w:pPr>
        <w:spacing w:line="360" w:lineRule="auto"/>
        <w:ind w:firstLineChars="200" w:firstLine="472"/>
        <w:jc w:val="both"/>
        <w:rPr>
          <w:rFonts w:ascii="Times New Roman" w:hAnsi="Times New Roman"/>
          <w:spacing w:val="-4"/>
          <w:sz w:val="24"/>
          <w:szCs w:val="24"/>
        </w:rPr>
      </w:pPr>
    </w:p>
    <w:p w:rsidR="00B43A95" w:rsidRDefault="00AB5A93">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法定代表人或授权代表</w:t>
      </w:r>
      <w:r>
        <w:rPr>
          <w:bCs/>
          <w:sz w:val="24"/>
        </w:rPr>
        <w:t>（签字</w:t>
      </w:r>
      <w:r>
        <w:rPr>
          <w:rFonts w:hint="eastAsia"/>
          <w:bCs/>
          <w:sz w:val="24"/>
        </w:rPr>
        <w:t>或盖章</w:t>
      </w:r>
      <w:r>
        <w:rPr>
          <w:bCs/>
          <w:sz w:val="24"/>
        </w:rPr>
        <w:t>）</w:t>
      </w:r>
      <w:r>
        <w:rPr>
          <w:rFonts w:ascii="Times New Roman" w:hAnsi="Times New Roman"/>
          <w:spacing w:val="-4"/>
          <w:sz w:val="24"/>
          <w:szCs w:val="24"/>
        </w:rPr>
        <w:t>：</w:t>
      </w:r>
    </w:p>
    <w:p w:rsidR="00B43A95" w:rsidRDefault="00B43A95">
      <w:pPr>
        <w:spacing w:line="360" w:lineRule="auto"/>
        <w:ind w:firstLineChars="200" w:firstLine="472"/>
        <w:jc w:val="both"/>
        <w:rPr>
          <w:rFonts w:ascii="Times New Roman" w:hAnsi="Times New Roman"/>
          <w:spacing w:val="-4"/>
          <w:sz w:val="24"/>
          <w:szCs w:val="24"/>
        </w:rPr>
      </w:pPr>
    </w:p>
    <w:p w:rsidR="00B43A95" w:rsidRDefault="00B43A95">
      <w:pPr>
        <w:spacing w:line="360" w:lineRule="auto"/>
        <w:ind w:firstLineChars="200" w:firstLine="472"/>
        <w:jc w:val="both"/>
        <w:rPr>
          <w:rFonts w:ascii="Times New Roman" w:hAnsi="Times New Roman"/>
          <w:spacing w:val="-4"/>
          <w:sz w:val="24"/>
          <w:szCs w:val="24"/>
        </w:rPr>
      </w:pPr>
    </w:p>
    <w:p w:rsidR="00B43A95" w:rsidRDefault="00B43A95">
      <w:pPr>
        <w:spacing w:line="360" w:lineRule="auto"/>
        <w:ind w:firstLineChars="200" w:firstLine="472"/>
        <w:jc w:val="both"/>
        <w:rPr>
          <w:rFonts w:ascii="Times New Roman" w:hAnsi="Times New Roman"/>
          <w:spacing w:val="-4"/>
          <w:sz w:val="24"/>
          <w:szCs w:val="24"/>
        </w:rPr>
      </w:pPr>
    </w:p>
    <w:p w:rsidR="00B43A95" w:rsidRDefault="00AB5A93">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签订日期：</w:t>
      </w:r>
      <w:r>
        <w:rPr>
          <w:rFonts w:ascii="Times New Roman" w:hAnsi="Times New Roman" w:hint="eastAsia"/>
          <w:spacing w:val="-4"/>
          <w:sz w:val="24"/>
          <w:szCs w:val="24"/>
        </w:rPr>
        <w:t xml:space="preserve">  </w:t>
      </w:r>
      <w:r>
        <w:rPr>
          <w:rFonts w:ascii="Times New Roman" w:hAnsi="Times New Roman"/>
          <w:spacing w:val="-4"/>
          <w:sz w:val="24"/>
          <w:szCs w:val="24"/>
        </w:rPr>
        <w:tab/>
      </w:r>
      <w:r>
        <w:rPr>
          <w:rFonts w:ascii="Times New Roman" w:hAnsi="Times New Roman"/>
          <w:spacing w:val="-4"/>
          <w:sz w:val="24"/>
          <w:szCs w:val="24"/>
        </w:rPr>
        <w:t>年</w:t>
      </w:r>
      <w:r>
        <w:rPr>
          <w:rFonts w:ascii="Times New Roman" w:hAnsi="Times New Roman"/>
          <w:spacing w:val="-4"/>
          <w:sz w:val="24"/>
          <w:szCs w:val="24"/>
        </w:rPr>
        <w:tab/>
      </w:r>
      <w:r>
        <w:rPr>
          <w:rFonts w:ascii="Times New Roman" w:hAnsi="Times New Roman"/>
          <w:spacing w:val="-4"/>
          <w:sz w:val="24"/>
          <w:szCs w:val="24"/>
        </w:rPr>
        <w:t>月</w:t>
      </w:r>
      <w:r>
        <w:rPr>
          <w:rFonts w:ascii="Times New Roman" w:hAnsi="Times New Roman"/>
          <w:spacing w:val="-4"/>
          <w:sz w:val="24"/>
          <w:szCs w:val="24"/>
        </w:rPr>
        <w:tab/>
      </w:r>
      <w:r>
        <w:rPr>
          <w:rFonts w:ascii="Times New Roman" w:hAnsi="Times New Roman"/>
          <w:spacing w:val="-4"/>
          <w:sz w:val="24"/>
          <w:szCs w:val="24"/>
        </w:rPr>
        <w:t>日</w:t>
      </w:r>
    </w:p>
    <w:p w:rsidR="00B43A95" w:rsidRDefault="00B43A95">
      <w:pPr>
        <w:spacing w:line="360" w:lineRule="auto"/>
        <w:ind w:firstLineChars="200" w:firstLine="472"/>
        <w:jc w:val="both"/>
        <w:rPr>
          <w:rFonts w:ascii="Times New Roman" w:hAnsi="Times New Roman"/>
          <w:spacing w:val="-4"/>
          <w:sz w:val="24"/>
          <w:szCs w:val="24"/>
        </w:rPr>
      </w:pPr>
    </w:p>
    <w:p w:rsidR="00B43A95" w:rsidRDefault="00B43A95">
      <w:pPr>
        <w:spacing w:line="360" w:lineRule="auto"/>
        <w:ind w:firstLineChars="200" w:firstLine="472"/>
        <w:jc w:val="both"/>
        <w:rPr>
          <w:rFonts w:ascii="Times New Roman" w:hAnsi="Times New Roman"/>
          <w:spacing w:val="-4"/>
          <w:sz w:val="24"/>
          <w:szCs w:val="24"/>
        </w:rPr>
      </w:pPr>
    </w:p>
    <w:p w:rsidR="00B43A95" w:rsidRDefault="00B43A95">
      <w:pPr>
        <w:spacing w:line="360" w:lineRule="auto"/>
        <w:ind w:firstLineChars="200" w:firstLine="472"/>
        <w:jc w:val="both"/>
        <w:rPr>
          <w:rFonts w:ascii="Times New Roman" w:hAnsi="Times New Roman"/>
          <w:spacing w:val="-4"/>
          <w:sz w:val="24"/>
          <w:szCs w:val="24"/>
        </w:rPr>
      </w:pPr>
    </w:p>
    <w:p w:rsidR="00B43A95" w:rsidRDefault="00B43A95">
      <w:pPr>
        <w:spacing w:line="360" w:lineRule="auto"/>
        <w:ind w:firstLineChars="200" w:firstLine="472"/>
        <w:jc w:val="both"/>
        <w:rPr>
          <w:rFonts w:ascii="Times New Roman" w:hAnsi="Times New Roman"/>
          <w:spacing w:val="-4"/>
          <w:sz w:val="24"/>
          <w:szCs w:val="24"/>
        </w:rPr>
      </w:pPr>
    </w:p>
    <w:p w:rsidR="00B43A95" w:rsidRDefault="00AB5A93">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基金托管人</w:t>
      </w:r>
      <w:r>
        <w:rPr>
          <w:rFonts w:ascii="Times New Roman" w:hAnsi="Times New Roman" w:hint="eastAsia"/>
          <w:spacing w:val="-4"/>
          <w:sz w:val="24"/>
          <w:szCs w:val="24"/>
        </w:rPr>
        <w:t>：</w:t>
      </w:r>
      <w:r>
        <w:rPr>
          <w:rFonts w:ascii="Times New Roman" w:hAnsi="Times New Roman"/>
          <w:spacing w:val="-4"/>
          <w:sz w:val="24"/>
          <w:szCs w:val="24"/>
        </w:rPr>
        <w:t>国金证券股份有限公司</w:t>
      </w:r>
      <w:r>
        <w:rPr>
          <w:rFonts w:ascii="Times New Roman" w:hAnsi="Times New Roman" w:hint="eastAsia"/>
          <w:spacing w:val="-4"/>
          <w:sz w:val="24"/>
          <w:szCs w:val="24"/>
        </w:rPr>
        <w:t>（盖章）</w:t>
      </w:r>
    </w:p>
    <w:p w:rsidR="00B43A95" w:rsidRDefault="00B43A95">
      <w:pPr>
        <w:spacing w:line="360" w:lineRule="auto"/>
        <w:ind w:firstLineChars="200" w:firstLine="472"/>
        <w:jc w:val="both"/>
        <w:rPr>
          <w:rFonts w:ascii="Times New Roman" w:hAnsi="Times New Roman"/>
          <w:spacing w:val="-4"/>
          <w:sz w:val="24"/>
          <w:szCs w:val="24"/>
        </w:rPr>
      </w:pPr>
    </w:p>
    <w:p w:rsidR="00B43A95" w:rsidRDefault="00B43A95">
      <w:pPr>
        <w:spacing w:line="360" w:lineRule="auto"/>
        <w:ind w:firstLineChars="200" w:firstLine="472"/>
        <w:jc w:val="both"/>
        <w:rPr>
          <w:rFonts w:ascii="Times New Roman" w:hAnsi="Times New Roman"/>
          <w:spacing w:val="-4"/>
          <w:sz w:val="24"/>
          <w:szCs w:val="24"/>
        </w:rPr>
      </w:pPr>
    </w:p>
    <w:p w:rsidR="00B43A95" w:rsidRDefault="00B43A95">
      <w:pPr>
        <w:spacing w:line="360" w:lineRule="auto"/>
        <w:ind w:firstLineChars="200" w:firstLine="472"/>
        <w:jc w:val="both"/>
        <w:rPr>
          <w:rFonts w:ascii="Times New Roman" w:hAnsi="Times New Roman"/>
          <w:spacing w:val="-4"/>
          <w:sz w:val="24"/>
          <w:szCs w:val="24"/>
        </w:rPr>
      </w:pPr>
    </w:p>
    <w:p w:rsidR="00B43A95" w:rsidRDefault="00AB5A93">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法定代表人或授权代表</w:t>
      </w:r>
      <w:r>
        <w:rPr>
          <w:bCs/>
          <w:sz w:val="24"/>
        </w:rPr>
        <w:t>（签字</w:t>
      </w:r>
      <w:r>
        <w:rPr>
          <w:rFonts w:hint="eastAsia"/>
          <w:bCs/>
          <w:sz w:val="24"/>
        </w:rPr>
        <w:t>或盖章</w:t>
      </w:r>
      <w:r>
        <w:rPr>
          <w:bCs/>
          <w:sz w:val="24"/>
        </w:rPr>
        <w:t>）</w:t>
      </w:r>
      <w:r>
        <w:rPr>
          <w:rFonts w:ascii="Times New Roman" w:hAnsi="Times New Roman"/>
          <w:spacing w:val="-4"/>
          <w:sz w:val="24"/>
          <w:szCs w:val="24"/>
        </w:rPr>
        <w:t>：</w:t>
      </w:r>
    </w:p>
    <w:p w:rsidR="00B43A95" w:rsidRDefault="00B43A95">
      <w:pPr>
        <w:spacing w:line="360" w:lineRule="auto"/>
        <w:ind w:firstLineChars="200" w:firstLine="472"/>
        <w:jc w:val="both"/>
        <w:rPr>
          <w:rFonts w:ascii="Times New Roman" w:hAnsi="Times New Roman"/>
          <w:spacing w:val="-4"/>
          <w:sz w:val="24"/>
          <w:szCs w:val="24"/>
        </w:rPr>
      </w:pPr>
    </w:p>
    <w:p w:rsidR="00B43A95" w:rsidRDefault="00B43A95">
      <w:pPr>
        <w:spacing w:line="360" w:lineRule="auto"/>
        <w:ind w:firstLineChars="200" w:firstLine="472"/>
        <w:jc w:val="both"/>
        <w:rPr>
          <w:rFonts w:ascii="Times New Roman" w:hAnsi="Times New Roman"/>
          <w:spacing w:val="-4"/>
          <w:sz w:val="24"/>
          <w:szCs w:val="24"/>
        </w:rPr>
      </w:pPr>
    </w:p>
    <w:p w:rsidR="00B43A95" w:rsidRDefault="00B43A95">
      <w:pPr>
        <w:spacing w:line="360" w:lineRule="auto"/>
        <w:ind w:firstLineChars="200" w:firstLine="472"/>
        <w:jc w:val="both"/>
        <w:rPr>
          <w:rFonts w:ascii="Times New Roman" w:hAnsi="Times New Roman"/>
          <w:spacing w:val="-4"/>
          <w:sz w:val="24"/>
          <w:szCs w:val="24"/>
        </w:rPr>
      </w:pPr>
    </w:p>
    <w:p w:rsidR="00B43A95" w:rsidRDefault="00AB5A93">
      <w:pPr>
        <w:spacing w:line="360" w:lineRule="auto"/>
        <w:ind w:firstLineChars="200" w:firstLine="472"/>
        <w:jc w:val="both"/>
        <w:rPr>
          <w:rFonts w:ascii="Times New Roman" w:hAnsi="Times New Roman"/>
          <w:spacing w:val="-4"/>
          <w:sz w:val="24"/>
          <w:szCs w:val="24"/>
          <w:lang w:val="en-US"/>
        </w:rPr>
      </w:pPr>
      <w:r>
        <w:rPr>
          <w:rFonts w:ascii="Times New Roman" w:hAnsi="Times New Roman"/>
          <w:spacing w:val="-4"/>
          <w:sz w:val="24"/>
          <w:szCs w:val="24"/>
        </w:rPr>
        <w:t>签订日期：</w:t>
      </w:r>
      <w:r>
        <w:rPr>
          <w:rFonts w:ascii="Times New Roman" w:hAnsi="Times New Roman"/>
          <w:spacing w:val="-4"/>
          <w:sz w:val="24"/>
          <w:szCs w:val="24"/>
        </w:rPr>
        <w:tab/>
      </w:r>
      <w:r>
        <w:rPr>
          <w:rFonts w:ascii="Times New Roman" w:hAnsi="Times New Roman" w:hint="eastAsia"/>
          <w:spacing w:val="-4"/>
          <w:sz w:val="24"/>
          <w:szCs w:val="24"/>
        </w:rPr>
        <w:t xml:space="preserve">  </w:t>
      </w:r>
      <w:r>
        <w:rPr>
          <w:rFonts w:ascii="Times New Roman" w:hAnsi="Times New Roman"/>
          <w:spacing w:val="-4"/>
          <w:sz w:val="24"/>
          <w:szCs w:val="24"/>
        </w:rPr>
        <w:tab/>
      </w:r>
      <w:r>
        <w:rPr>
          <w:rFonts w:ascii="Times New Roman" w:hAnsi="Times New Roman"/>
          <w:spacing w:val="-4"/>
          <w:sz w:val="24"/>
          <w:szCs w:val="24"/>
        </w:rPr>
        <w:t>年</w:t>
      </w:r>
      <w:r>
        <w:rPr>
          <w:rFonts w:ascii="Times New Roman" w:hAnsi="Times New Roman"/>
          <w:spacing w:val="-4"/>
          <w:sz w:val="24"/>
          <w:szCs w:val="24"/>
        </w:rPr>
        <w:tab/>
      </w:r>
      <w:r>
        <w:rPr>
          <w:rFonts w:ascii="Times New Roman" w:hAnsi="Times New Roman"/>
          <w:spacing w:val="-4"/>
          <w:sz w:val="24"/>
          <w:szCs w:val="24"/>
        </w:rPr>
        <w:t>月</w:t>
      </w:r>
      <w:r>
        <w:rPr>
          <w:rFonts w:ascii="Times New Roman" w:hAnsi="Times New Roman"/>
          <w:spacing w:val="-4"/>
          <w:sz w:val="24"/>
          <w:szCs w:val="24"/>
        </w:rPr>
        <w:tab/>
      </w:r>
      <w:r>
        <w:rPr>
          <w:rFonts w:ascii="Times New Roman" w:hAnsi="Times New Roman"/>
          <w:spacing w:val="-4"/>
          <w:sz w:val="24"/>
          <w:szCs w:val="24"/>
        </w:rPr>
        <w:t>日</w:t>
      </w:r>
    </w:p>
    <w:p w:rsidR="00B43A95" w:rsidRDefault="00B43A95">
      <w:pPr>
        <w:spacing w:line="276" w:lineRule="auto"/>
        <w:ind w:right="26"/>
        <w:jc w:val="both"/>
        <w:rPr>
          <w:rFonts w:ascii="Times New Roman" w:hAnsi="Times New Roman" w:cs="Times New Roman"/>
          <w:spacing w:val="-4"/>
          <w:sz w:val="21"/>
          <w:szCs w:val="21"/>
          <w:lang w:val="en-US"/>
        </w:rPr>
      </w:pPr>
    </w:p>
    <w:sectPr w:rsidR="00B43A95">
      <w:pgSz w:w="11910" w:h="16840"/>
      <w:pgMar w:top="1380" w:right="1560" w:bottom="1400" w:left="1680" w:header="737" w:footer="992" w:gutter="0"/>
      <w:cols w:space="720"/>
      <w:docGrid w:type="line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DEB" w:rsidRDefault="007C3DEB">
      <w:r>
        <w:separator/>
      </w:r>
    </w:p>
  </w:endnote>
  <w:endnote w:type="continuationSeparator" w:id="0">
    <w:p w:rsidR="007C3DEB" w:rsidRDefault="007C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B35" w:rsidRDefault="00783B35">
    <w:pPr>
      <w:pStyle w:val="a5"/>
      <w:spacing w:line="14" w:lineRule="auto"/>
      <w:ind w:left="0"/>
      <w:rPr>
        <w:sz w:val="20"/>
      </w:rPr>
    </w:pPr>
    <w:r>
      <w:rPr>
        <w:noProof/>
        <w:lang w:val="en-US" w:bidi="ar-SA"/>
      </w:rPr>
      <mc:AlternateContent>
        <mc:Choice Requires="wps">
          <w:drawing>
            <wp:anchor distT="0" distB="0" distL="114300" distR="114300" simplePos="0" relativeHeight="251659264" behindDoc="1" locked="0" layoutInCell="1" allowOverlap="1">
              <wp:simplePos x="0" y="0"/>
              <wp:positionH relativeFrom="page">
                <wp:posOffset>3698875</wp:posOffset>
              </wp:positionH>
              <wp:positionV relativeFrom="page">
                <wp:posOffset>9789795</wp:posOffset>
              </wp:positionV>
              <wp:extent cx="167005" cy="1524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wps:spPr>
                    <wps:txbx>
                      <w:txbxContent>
                        <w:p w:rsidR="00783B35" w:rsidRDefault="00783B35">
                          <w:pPr>
                            <w:spacing w:before="12"/>
                            <w:ind w:left="40"/>
                            <w:rPr>
                              <w:rFonts w:ascii="Times New Roman"/>
                              <w:sz w:val="18"/>
                            </w:rPr>
                          </w:pPr>
                          <w:r>
                            <w:fldChar w:fldCharType="begin"/>
                          </w:r>
                          <w:r>
                            <w:rPr>
                              <w:rFonts w:ascii="Times New Roman"/>
                              <w:sz w:val="18"/>
                            </w:rPr>
                            <w:instrText xml:space="preserve"> PAGE </w:instrText>
                          </w:r>
                          <w:r>
                            <w:fldChar w:fldCharType="separate"/>
                          </w:r>
                          <w:r w:rsidR="002478AE">
                            <w:rPr>
                              <w:rFonts w:ascii="Times New Roman"/>
                              <w:noProof/>
                              <w:sz w:val="18"/>
                            </w:rPr>
                            <w:t>23</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91.25pt;margin-top:770.85pt;width:13.15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" filled="f" stroked="f">
              <v:textbox inset="0,0,0,0">
                <w:txbxContent>
                  <w:p w:rsidR="00783B35" w:rsidRDefault="00783B35">
                    <w:pPr>
                      <w:spacing w:before="12"/>
                      <w:ind w:left="40"/>
                      <w:rPr>
                        <w:rFonts w:ascii="Times New Roman"/>
                        <w:sz w:val="18"/>
                      </w:rPr>
                    </w:pPr>
                    <w:r>
                      <w:fldChar w:fldCharType="begin"/>
                    </w:r>
                    <w:r>
                      <w:rPr>
                        <w:rFonts w:ascii="Times New Roman"/>
                        <w:sz w:val="18"/>
                      </w:rPr>
                      <w:instrText xml:space="preserve"> PAGE </w:instrText>
                    </w:r>
                    <w:r>
                      <w:fldChar w:fldCharType="separate"/>
                    </w:r>
                    <w:r w:rsidR="002478AE">
                      <w:rPr>
                        <w:rFonts w:ascii="Times New Roman"/>
                        <w:noProof/>
                        <w:sz w:val="18"/>
                      </w:rPr>
                      <w:t>23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DEB" w:rsidRDefault="007C3DEB">
      <w:r>
        <w:separator/>
      </w:r>
    </w:p>
  </w:footnote>
  <w:footnote w:type="continuationSeparator" w:id="0">
    <w:p w:rsidR="007C3DEB" w:rsidRDefault="007C3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B35" w:rsidRDefault="00783B35">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B35" w:rsidRDefault="00783B35">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B35" w:rsidRDefault="00783B35">
    <w:pPr>
      <w:pStyle w:val="a8"/>
      <w:jc w:val="right"/>
    </w:pPr>
    <w:r>
      <w:rPr>
        <w:rFonts w:hint="eastAsia"/>
      </w:rPr>
      <w:t>广发上证</w:t>
    </w:r>
    <w:r>
      <w:t>AAA科技创新公司债交易型开放式指数证券投资基金</w:t>
    </w:r>
    <w:r>
      <w:rPr>
        <w:rFonts w:hint="eastAsia"/>
      </w:rPr>
      <w:t>-托管协议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B35" w:rsidRDefault="00783B3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xNDhmM2FmZjFhZWI0OGRjZWQ2NWE4MTdmNzNlNTUifQ=="/>
  </w:docVars>
  <w:rsids>
    <w:rsidRoot w:val="00856B70"/>
    <w:rsid w:val="000064CF"/>
    <w:rsid w:val="00011879"/>
    <w:rsid w:val="00020E9D"/>
    <w:rsid w:val="00023492"/>
    <w:rsid w:val="00027535"/>
    <w:rsid w:val="00033E40"/>
    <w:rsid w:val="00036BC4"/>
    <w:rsid w:val="000626B8"/>
    <w:rsid w:val="00075E07"/>
    <w:rsid w:val="00087FD8"/>
    <w:rsid w:val="000C0A43"/>
    <w:rsid w:val="000C1E6F"/>
    <w:rsid w:val="000C4734"/>
    <w:rsid w:val="000E3C41"/>
    <w:rsid w:val="000E6EA9"/>
    <w:rsid w:val="000F61E2"/>
    <w:rsid w:val="00111C17"/>
    <w:rsid w:val="00115D3B"/>
    <w:rsid w:val="00122E59"/>
    <w:rsid w:val="001252BE"/>
    <w:rsid w:val="001508AB"/>
    <w:rsid w:val="001547E6"/>
    <w:rsid w:val="001551AF"/>
    <w:rsid w:val="001606C0"/>
    <w:rsid w:val="001620D1"/>
    <w:rsid w:val="00165035"/>
    <w:rsid w:val="00170061"/>
    <w:rsid w:val="00180DF5"/>
    <w:rsid w:val="001A0C33"/>
    <w:rsid w:val="001B0540"/>
    <w:rsid w:val="001B59FB"/>
    <w:rsid w:val="001C2C7B"/>
    <w:rsid w:val="001C5FB2"/>
    <w:rsid w:val="001D5C0B"/>
    <w:rsid w:val="001E02C4"/>
    <w:rsid w:val="001E1DF5"/>
    <w:rsid w:val="00201CFF"/>
    <w:rsid w:val="00210815"/>
    <w:rsid w:val="00233E8E"/>
    <w:rsid w:val="002478AE"/>
    <w:rsid w:val="00247A73"/>
    <w:rsid w:val="00252AD4"/>
    <w:rsid w:val="00276354"/>
    <w:rsid w:val="0028199C"/>
    <w:rsid w:val="00286C0A"/>
    <w:rsid w:val="002965F1"/>
    <w:rsid w:val="002967BF"/>
    <w:rsid w:val="002967D8"/>
    <w:rsid w:val="002972A6"/>
    <w:rsid w:val="002B047B"/>
    <w:rsid w:val="002B09EA"/>
    <w:rsid w:val="002C07BD"/>
    <w:rsid w:val="002C0DB2"/>
    <w:rsid w:val="002D3376"/>
    <w:rsid w:val="002D7468"/>
    <w:rsid w:val="003125D7"/>
    <w:rsid w:val="00316D8E"/>
    <w:rsid w:val="00326BB0"/>
    <w:rsid w:val="003277D6"/>
    <w:rsid w:val="00331EE6"/>
    <w:rsid w:val="00335A45"/>
    <w:rsid w:val="00346B00"/>
    <w:rsid w:val="00351A8C"/>
    <w:rsid w:val="00351E4A"/>
    <w:rsid w:val="00365A6F"/>
    <w:rsid w:val="00366B7E"/>
    <w:rsid w:val="00372CA6"/>
    <w:rsid w:val="00375E3E"/>
    <w:rsid w:val="0037692A"/>
    <w:rsid w:val="003801D9"/>
    <w:rsid w:val="00381E6C"/>
    <w:rsid w:val="00383F41"/>
    <w:rsid w:val="0039104B"/>
    <w:rsid w:val="00395F0A"/>
    <w:rsid w:val="003968CC"/>
    <w:rsid w:val="003B2B61"/>
    <w:rsid w:val="003B4313"/>
    <w:rsid w:val="003B5B1C"/>
    <w:rsid w:val="003C6BB0"/>
    <w:rsid w:val="003C7C4F"/>
    <w:rsid w:val="003D099C"/>
    <w:rsid w:val="003D6321"/>
    <w:rsid w:val="003D7253"/>
    <w:rsid w:val="003E5602"/>
    <w:rsid w:val="003F0EF0"/>
    <w:rsid w:val="003F28AD"/>
    <w:rsid w:val="003F39B1"/>
    <w:rsid w:val="003F3FF9"/>
    <w:rsid w:val="003F4E31"/>
    <w:rsid w:val="0041403C"/>
    <w:rsid w:val="00425991"/>
    <w:rsid w:val="00427EB0"/>
    <w:rsid w:val="00447910"/>
    <w:rsid w:val="0045130D"/>
    <w:rsid w:val="0045179A"/>
    <w:rsid w:val="00455485"/>
    <w:rsid w:val="00456CAC"/>
    <w:rsid w:val="004709B4"/>
    <w:rsid w:val="004734DF"/>
    <w:rsid w:val="00482CBD"/>
    <w:rsid w:val="004847F6"/>
    <w:rsid w:val="0049193D"/>
    <w:rsid w:val="004A69D9"/>
    <w:rsid w:val="004C0A85"/>
    <w:rsid w:val="004C67AC"/>
    <w:rsid w:val="004E1464"/>
    <w:rsid w:val="004E2083"/>
    <w:rsid w:val="004E5418"/>
    <w:rsid w:val="004E7A68"/>
    <w:rsid w:val="004F2E5F"/>
    <w:rsid w:val="0050195A"/>
    <w:rsid w:val="005051B6"/>
    <w:rsid w:val="0050607E"/>
    <w:rsid w:val="00506EA6"/>
    <w:rsid w:val="005106C8"/>
    <w:rsid w:val="0051289D"/>
    <w:rsid w:val="00517645"/>
    <w:rsid w:val="00536B09"/>
    <w:rsid w:val="00537650"/>
    <w:rsid w:val="005407B6"/>
    <w:rsid w:val="00543D1A"/>
    <w:rsid w:val="00550438"/>
    <w:rsid w:val="00563C45"/>
    <w:rsid w:val="005650C4"/>
    <w:rsid w:val="00572475"/>
    <w:rsid w:val="005821C9"/>
    <w:rsid w:val="00583F11"/>
    <w:rsid w:val="005877B7"/>
    <w:rsid w:val="00593E71"/>
    <w:rsid w:val="005967F4"/>
    <w:rsid w:val="005A2EED"/>
    <w:rsid w:val="005A3908"/>
    <w:rsid w:val="005C0BD9"/>
    <w:rsid w:val="005D151E"/>
    <w:rsid w:val="005D3D2F"/>
    <w:rsid w:val="005E1E8F"/>
    <w:rsid w:val="005E4711"/>
    <w:rsid w:val="005E4DDB"/>
    <w:rsid w:val="005E4FF1"/>
    <w:rsid w:val="005F6A98"/>
    <w:rsid w:val="005F7804"/>
    <w:rsid w:val="00611A54"/>
    <w:rsid w:val="00621481"/>
    <w:rsid w:val="006252D2"/>
    <w:rsid w:val="00626D2C"/>
    <w:rsid w:val="006426E3"/>
    <w:rsid w:val="00650199"/>
    <w:rsid w:val="00651138"/>
    <w:rsid w:val="00653B9F"/>
    <w:rsid w:val="00665E36"/>
    <w:rsid w:val="006764AB"/>
    <w:rsid w:val="00683473"/>
    <w:rsid w:val="0069095B"/>
    <w:rsid w:val="00692FC8"/>
    <w:rsid w:val="006975AD"/>
    <w:rsid w:val="006A0BF1"/>
    <w:rsid w:val="006A1138"/>
    <w:rsid w:val="006A5134"/>
    <w:rsid w:val="006A571C"/>
    <w:rsid w:val="006B1F44"/>
    <w:rsid w:val="006B4491"/>
    <w:rsid w:val="006C0DFA"/>
    <w:rsid w:val="006C27F3"/>
    <w:rsid w:val="006D131A"/>
    <w:rsid w:val="006F6463"/>
    <w:rsid w:val="0070105E"/>
    <w:rsid w:val="00717BB4"/>
    <w:rsid w:val="00717BD3"/>
    <w:rsid w:val="00717D74"/>
    <w:rsid w:val="00724F97"/>
    <w:rsid w:val="00732604"/>
    <w:rsid w:val="00733BE0"/>
    <w:rsid w:val="0073446E"/>
    <w:rsid w:val="00735EB8"/>
    <w:rsid w:val="0074248E"/>
    <w:rsid w:val="00745A9A"/>
    <w:rsid w:val="007516D9"/>
    <w:rsid w:val="00754403"/>
    <w:rsid w:val="00766EBD"/>
    <w:rsid w:val="00773E83"/>
    <w:rsid w:val="00783B35"/>
    <w:rsid w:val="00785205"/>
    <w:rsid w:val="00786487"/>
    <w:rsid w:val="00792461"/>
    <w:rsid w:val="0079306C"/>
    <w:rsid w:val="00793907"/>
    <w:rsid w:val="007A3EAD"/>
    <w:rsid w:val="007A4FD8"/>
    <w:rsid w:val="007A582A"/>
    <w:rsid w:val="007B386C"/>
    <w:rsid w:val="007B6F62"/>
    <w:rsid w:val="007C3DEB"/>
    <w:rsid w:val="007D4A2F"/>
    <w:rsid w:val="007D4B83"/>
    <w:rsid w:val="007D67E7"/>
    <w:rsid w:val="007D6D43"/>
    <w:rsid w:val="007F111D"/>
    <w:rsid w:val="007F2F9E"/>
    <w:rsid w:val="00800CC5"/>
    <w:rsid w:val="00802544"/>
    <w:rsid w:val="00815897"/>
    <w:rsid w:val="00817153"/>
    <w:rsid w:val="0082077D"/>
    <w:rsid w:val="008257D2"/>
    <w:rsid w:val="00827387"/>
    <w:rsid w:val="00831033"/>
    <w:rsid w:val="008326D2"/>
    <w:rsid w:val="00836770"/>
    <w:rsid w:val="00850048"/>
    <w:rsid w:val="00856B70"/>
    <w:rsid w:val="00856B72"/>
    <w:rsid w:val="00864E54"/>
    <w:rsid w:val="00870B9E"/>
    <w:rsid w:val="00871339"/>
    <w:rsid w:val="00881D67"/>
    <w:rsid w:val="00882672"/>
    <w:rsid w:val="00884F65"/>
    <w:rsid w:val="00886E78"/>
    <w:rsid w:val="00892345"/>
    <w:rsid w:val="008A5CDC"/>
    <w:rsid w:val="008C27C8"/>
    <w:rsid w:val="008C3781"/>
    <w:rsid w:val="008C4B5F"/>
    <w:rsid w:val="008C4DE7"/>
    <w:rsid w:val="008C5A6D"/>
    <w:rsid w:val="008D0BAB"/>
    <w:rsid w:val="008E32F6"/>
    <w:rsid w:val="008E359B"/>
    <w:rsid w:val="008E7C99"/>
    <w:rsid w:val="008F3353"/>
    <w:rsid w:val="00911BF4"/>
    <w:rsid w:val="00911F91"/>
    <w:rsid w:val="00913875"/>
    <w:rsid w:val="00917B7A"/>
    <w:rsid w:val="00920852"/>
    <w:rsid w:val="00937606"/>
    <w:rsid w:val="0094246D"/>
    <w:rsid w:val="009431DC"/>
    <w:rsid w:val="00943C41"/>
    <w:rsid w:val="00970581"/>
    <w:rsid w:val="00972ACA"/>
    <w:rsid w:val="009741F6"/>
    <w:rsid w:val="009807C5"/>
    <w:rsid w:val="0099602C"/>
    <w:rsid w:val="009B1016"/>
    <w:rsid w:val="009B378C"/>
    <w:rsid w:val="009C16AE"/>
    <w:rsid w:val="009D0DF6"/>
    <w:rsid w:val="009D76BB"/>
    <w:rsid w:val="00A00342"/>
    <w:rsid w:val="00A01882"/>
    <w:rsid w:val="00A11958"/>
    <w:rsid w:val="00A259FB"/>
    <w:rsid w:val="00A325D7"/>
    <w:rsid w:val="00A328E9"/>
    <w:rsid w:val="00A36C95"/>
    <w:rsid w:val="00A44D3D"/>
    <w:rsid w:val="00A61579"/>
    <w:rsid w:val="00A6500D"/>
    <w:rsid w:val="00A7499D"/>
    <w:rsid w:val="00A7638B"/>
    <w:rsid w:val="00A76677"/>
    <w:rsid w:val="00A80E83"/>
    <w:rsid w:val="00AA4364"/>
    <w:rsid w:val="00AA6A99"/>
    <w:rsid w:val="00AB5A93"/>
    <w:rsid w:val="00AC3729"/>
    <w:rsid w:val="00AD31E8"/>
    <w:rsid w:val="00AF7B86"/>
    <w:rsid w:val="00B019B8"/>
    <w:rsid w:val="00B0302E"/>
    <w:rsid w:val="00B22E51"/>
    <w:rsid w:val="00B31C6A"/>
    <w:rsid w:val="00B43A95"/>
    <w:rsid w:val="00B523E9"/>
    <w:rsid w:val="00B526C6"/>
    <w:rsid w:val="00B615F0"/>
    <w:rsid w:val="00B72B2D"/>
    <w:rsid w:val="00B73AAC"/>
    <w:rsid w:val="00B94217"/>
    <w:rsid w:val="00B95058"/>
    <w:rsid w:val="00B96603"/>
    <w:rsid w:val="00BB0B2A"/>
    <w:rsid w:val="00BB7D70"/>
    <w:rsid w:val="00BC3BDA"/>
    <w:rsid w:val="00BC4BA3"/>
    <w:rsid w:val="00BD01B2"/>
    <w:rsid w:val="00BD2862"/>
    <w:rsid w:val="00BD5DBA"/>
    <w:rsid w:val="00BD68A0"/>
    <w:rsid w:val="00BF0555"/>
    <w:rsid w:val="00BF2308"/>
    <w:rsid w:val="00C14CAB"/>
    <w:rsid w:val="00C24DCF"/>
    <w:rsid w:val="00C26B5E"/>
    <w:rsid w:val="00C27FB1"/>
    <w:rsid w:val="00C30CB2"/>
    <w:rsid w:val="00C344A9"/>
    <w:rsid w:val="00C42718"/>
    <w:rsid w:val="00C4440E"/>
    <w:rsid w:val="00C574B3"/>
    <w:rsid w:val="00C92608"/>
    <w:rsid w:val="00C93ADD"/>
    <w:rsid w:val="00C93B64"/>
    <w:rsid w:val="00C95B4C"/>
    <w:rsid w:val="00C9768F"/>
    <w:rsid w:val="00CA0E64"/>
    <w:rsid w:val="00CA0F07"/>
    <w:rsid w:val="00CC2E14"/>
    <w:rsid w:val="00CC498F"/>
    <w:rsid w:val="00CC4B5E"/>
    <w:rsid w:val="00CC5C73"/>
    <w:rsid w:val="00CD082F"/>
    <w:rsid w:val="00CD5142"/>
    <w:rsid w:val="00CD5C80"/>
    <w:rsid w:val="00CD7891"/>
    <w:rsid w:val="00CD7B46"/>
    <w:rsid w:val="00CE44CB"/>
    <w:rsid w:val="00CE72D5"/>
    <w:rsid w:val="00CF4161"/>
    <w:rsid w:val="00CF4FD0"/>
    <w:rsid w:val="00CF6F1E"/>
    <w:rsid w:val="00CF6FD1"/>
    <w:rsid w:val="00D01BF0"/>
    <w:rsid w:val="00D0561B"/>
    <w:rsid w:val="00D16396"/>
    <w:rsid w:val="00D16BD1"/>
    <w:rsid w:val="00D17B1D"/>
    <w:rsid w:val="00D4109B"/>
    <w:rsid w:val="00D43D8C"/>
    <w:rsid w:val="00D444F7"/>
    <w:rsid w:val="00D46474"/>
    <w:rsid w:val="00D475C7"/>
    <w:rsid w:val="00D51A5A"/>
    <w:rsid w:val="00D51C12"/>
    <w:rsid w:val="00D624BB"/>
    <w:rsid w:val="00D83F0A"/>
    <w:rsid w:val="00D90B25"/>
    <w:rsid w:val="00D90FFC"/>
    <w:rsid w:val="00D97DF7"/>
    <w:rsid w:val="00DA43C4"/>
    <w:rsid w:val="00DB3A8E"/>
    <w:rsid w:val="00DC0A44"/>
    <w:rsid w:val="00DC3288"/>
    <w:rsid w:val="00DC478F"/>
    <w:rsid w:val="00DC6554"/>
    <w:rsid w:val="00DD57CE"/>
    <w:rsid w:val="00DE292F"/>
    <w:rsid w:val="00DE3483"/>
    <w:rsid w:val="00DF1A56"/>
    <w:rsid w:val="00DF267F"/>
    <w:rsid w:val="00DF36D7"/>
    <w:rsid w:val="00DF409D"/>
    <w:rsid w:val="00E16193"/>
    <w:rsid w:val="00E20B7B"/>
    <w:rsid w:val="00E33234"/>
    <w:rsid w:val="00E35C20"/>
    <w:rsid w:val="00E36E96"/>
    <w:rsid w:val="00E4410B"/>
    <w:rsid w:val="00E52BA0"/>
    <w:rsid w:val="00E666F7"/>
    <w:rsid w:val="00E66B26"/>
    <w:rsid w:val="00E66CDD"/>
    <w:rsid w:val="00E76761"/>
    <w:rsid w:val="00E77A1C"/>
    <w:rsid w:val="00E814C9"/>
    <w:rsid w:val="00E87C31"/>
    <w:rsid w:val="00E94245"/>
    <w:rsid w:val="00E94861"/>
    <w:rsid w:val="00E97DBB"/>
    <w:rsid w:val="00EA65BA"/>
    <w:rsid w:val="00EB537C"/>
    <w:rsid w:val="00EC065D"/>
    <w:rsid w:val="00EC380E"/>
    <w:rsid w:val="00EC4280"/>
    <w:rsid w:val="00ED65D0"/>
    <w:rsid w:val="00EE122D"/>
    <w:rsid w:val="00EF0376"/>
    <w:rsid w:val="00EF0BF8"/>
    <w:rsid w:val="00EF5F1C"/>
    <w:rsid w:val="00F02A98"/>
    <w:rsid w:val="00F04C8D"/>
    <w:rsid w:val="00F04DFF"/>
    <w:rsid w:val="00F10A77"/>
    <w:rsid w:val="00F21186"/>
    <w:rsid w:val="00F24456"/>
    <w:rsid w:val="00F359E5"/>
    <w:rsid w:val="00F43C08"/>
    <w:rsid w:val="00F65937"/>
    <w:rsid w:val="00F65D86"/>
    <w:rsid w:val="00F67F6A"/>
    <w:rsid w:val="00F71C3D"/>
    <w:rsid w:val="00F85109"/>
    <w:rsid w:val="00F85D87"/>
    <w:rsid w:val="00F901EF"/>
    <w:rsid w:val="00F94B46"/>
    <w:rsid w:val="00FA2F3B"/>
    <w:rsid w:val="00FA50A2"/>
    <w:rsid w:val="00FB3373"/>
    <w:rsid w:val="00FB5315"/>
    <w:rsid w:val="00FB536A"/>
    <w:rsid w:val="00FC1893"/>
    <w:rsid w:val="00FC3025"/>
    <w:rsid w:val="00FD33F7"/>
    <w:rsid w:val="00FE2D61"/>
    <w:rsid w:val="10E040C6"/>
    <w:rsid w:val="27FD78B7"/>
    <w:rsid w:val="29CB5588"/>
    <w:rsid w:val="35D9455D"/>
    <w:rsid w:val="3A29707D"/>
    <w:rsid w:val="41FE597E"/>
    <w:rsid w:val="58BA23AB"/>
    <w:rsid w:val="5D887422"/>
    <w:rsid w:val="74381B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9EA3ED-0CA8-4806-9A42-78292923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ind w:left="518"/>
      <w:outlineLvl w:val="0"/>
    </w:pPr>
    <w:rPr>
      <w:rFonts w:ascii="微软雅黑" w:eastAsia="微软雅黑" w:hAnsi="微软雅黑" w:cs="微软雅黑"/>
      <w:b/>
      <w:bCs/>
      <w:sz w:val="30"/>
      <w:szCs w:val="30"/>
    </w:rPr>
  </w:style>
  <w:style w:type="paragraph" w:styleId="2">
    <w:name w:val="heading 2"/>
    <w:basedOn w:val="a"/>
    <w:next w:val="a"/>
    <w:link w:val="2Char"/>
    <w:uiPriority w:val="1"/>
    <w:qFormat/>
    <w:pPr>
      <w:jc w:val="center"/>
      <w:outlineLvl w:val="1"/>
    </w:pPr>
    <w:rPr>
      <w:rFonts w:ascii="微软雅黑" w:eastAsia="微软雅黑" w:hAnsi="微软雅黑" w:cs="微软雅黑"/>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sz w:val="18"/>
      <w:szCs w:val="18"/>
    </w:rPr>
  </w:style>
  <w:style w:type="paragraph" w:styleId="a4">
    <w:name w:val="annotation text"/>
    <w:basedOn w:val="a"/>
    <w:link w:val="Char0"/>
    <w:uiPriority w:val="99"/>
    <w:semiHidden/>
    <w:unhideWhenUsed/>
    <w:qFormat/>
  </w:style>
  <w:style w:type="paragraph" w:styleId="a5">
    <w:name w:val="Body Text"/>
    <w:basedOn w:val="a"/>
    <w:uiPriority w:val="1"/>
    <w:qFormat/>
    <w:pPr>
      <w:ind w:left="118"/>
    </w:pPr>
    <w:rPr>
      <w:sz w:val="24"/>
      <w:szCs w:val="24"/>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99"/>
      <w:ind w:left="538"/>
    </w:pPr>
    <w:rPr>
      <w:sz w:val="21"/>
      <w:szCs w:val="21"/>
    </w:rPr>
  </w:style>
  <w:style w:type="paragraph" w:styleId="a9">
    <w:name w:val="annotation subject"/>
    <w:basedOn w:val="a4"/>
    <w:next w:val="a4"/>
    <w:link w:val="Char4"/>
    <w:uiPriority w:val="99"/>
    <w:semiHidden/>
    <w:unhideWhenUsed/>
    <w:qFormat/>
    <w:rPr>
      <w:b/>
      <w:bCs/>
    </w:rPr>
  </w:style>
  <w:style w:type="character" w:styleId="aa">
    <w:name w:val="Hyperlink"/>
    <w:basedOn w:val="a0"/>
    <w:uiPriority w:val="99"/>
    <w:unhideWhenUsed/>
    <w:qFormat/>
    <w:rPr>
      <w:color w:val="0000FF" w:themeColor="hyperlink"/>
      <w:u w:val="single"/>
    </w:rPr>
  </w:style>
  <w:style w:type="character" w:styleId="ab">
    <w:name w:val="annotation reference"/>
    <w:basedOn w:val="a0"/>
    <w:uiPriority w:val="99"/>
    <w:semiHidden/>
    <w:unhideWhenUsed/>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c">
    <w:name w:val="List Paragraph"/>
    <w:basedOn w:val="a"/>
    <w:uiPriority w:val="1"/>
    <w:qFormat/>
    <w:pPr>
      <w:ind w:left="118" w:firstLine="480"/>
    </w:pPr>
  </w:style>
  <w:style w:type="paragraph" w:customStyle="1" w:styleId="TableParagraph">
    <w:name w:val="Table Paragraph"/>
    <w:basedOn w:val="a"/>
    <w:uiPriority w:val="1"/>
    <w:qFormat/>
  </w:style>
  <w:style w:type="character" w:customStyle="1" w:styleId="nameboxcolor">
    <w:name w:val="nameboxcolor"/>
    <w:basedOn w:val="a0"/>
    <w:qFormat/>
  </w:style>
  <w:style w:type="character" w:customStyle="1" w:styleId="Char0">
    <w:name w:val="批注文字 Char"/>
    <w:basedOn w:val="a0"/>
    <w:link w:val="a4"/>
    <w:uiPriority w:val="99"/>
    <w:semiHidden/>
    <w:qFormat/>
    <w:rPr>
      <w:rFonts w:ascii="宋体" w:eastAsia="宋体" w:hAnsi="宋体" w:cs="宋体"/>
      <w:lang w:val="zh-CN" w:eastAsia="zh-CN" w:bidi="zh-CN"/>
    </w:rPr>
  </w:style>
  <w:style w:type="character" w:customStyle="1" w:styleId="Char4">
    <w:name w:val="批注主题 Char"/>
    <w:basedOn w:val="Char0"/>
    <w:link w:val="a9"/>
    <w:uiPriority w:val="99"/>
    <w:semiHidden/>
    <w:qFormat/>
    <w:rPr>
      <w:rFonts w:ascii="宋体" w:eastAsia="宋体" w:hAnsi="宋体" w:cs="宋体"/>
      <w:b/>
      <w:bCs/>
      <w:lang w:val="zh-CN" w:eastAsia="zh-CN" w:bidi="zh-CN"/>
    </w:rPr>
  </w:style>
  <w:style w:type="character" w:customStyle="1" w:styleId="Char1">
    <w:name w:val="批注框文本 Char"/>
    <w:basedOn w:val="a0"/>
    <w:link w:val="a6"/>
    <w:uiPriority w:val="99"/>
    <w:semiHidden/>
    <w:qFormat/>
    <w:rPr>
      <w:rFonts w:ascii="宋体" w:eastAsia="宋体" w:hAnsi="宋体" w:cs="宋体"/>
      <w:sz w:val="18"/>
      <w:szCs w:val="18"/>
      <w:lang w:val="zh-CN" w:eastAsia="zh-CN" w:bidi="zh-CN"/>
    </w:rPr>
  </w:style>
  <w:style w:type="character" w:customStyle="1" w:styleId="Char3">
    <w:name w:val="页眉 Char"/>
    <w:basedOn w:val="a0"/>
    <w:link w:val="a8"/>
    <w:uiPriority w:val="99"/>
    <w:qFormat/>
    <w:rPr>
      <w:rFonts w:ascii="宋体" w:eastAsia="宋体" w:hAnsi="宋体" w:cs="宋体"/>
      <w:sz w:val="18"/>
      <w:szCs w:val="18"/>
      <w:lang w:val="zh-CN" w:eastAsia="zh-CN" w:bidi="zh-CN"/>
    </w:rPr>
  </w:style>
  <w:style w:type="character" w:customStyle="1" w:styleId="Char2">
    <w:name w:val="页脚 Char"/>
    <w:basedOn w:val="a0"/>
    <w:link w:val="a7"/>
    <w:uiPriority w:val="99"/>
    <w:qFormat/>
    <w:rPr>
      <w:rFonts w:ascii="宋体" w:eastAsia="宋体" w:hAnsi="宋体" w:cs="宋体"/>
      <w:sz w:val="18"/>
      <w:szCs w:val="18"/>
      <w:lang w:val="zh-CN" w:eastAsia="zh-CN" w:bidi="zh-CN"/>
    </w:rPr>
  </w:style>
  <w:style w:type="character" w:customStyle="1" w:styleId="2Char">
    <w:name w:val="标题 2 Char"/>
    <w:basedOn w:val="a0"/>
    <w:link w:val="2"/>
    <w:qFormat/>
    <w:rPr>
      <w:rFonts w:ascii="微软雅黑" w:eastAsia="微软雅黑" w:hAnsi="微软雅黑" w:cs="微软雅黑"/>
      <w:b/>
      <w:bCs/>
      <w:sz w:val="28"/>
      <w:szCs w:val="28"/>
      <w:lang w:val="zh-CN" w:eastAsia="zh-CN" w:bidi="zh-CN"/>
    </w:rPr>
  </w:style>
  <w:style w:type="paragraph" w:customStyle="1" w:styleId="TOC1">
    <w:name w:val="TOC 标题1"/>
    <w:basedOn w:val="1"/>
    <w:next w:val="a"/>
    <w:uiPriority w:val="39"/>
    <w:unhideWhenUsed/>
    <w:qFormat/>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bidi="ar-SA"/>
    </w:rPr>
  </w:style>
  <w:style w:type="character" w:customStyle="1" w:styleId="Char">
    <w:name w:val="文档结构图 Char"/>
    <w:basedOn w:val="a0"/>
    <w:link w:val="a3"/>
    <w:uiPriority w:val="99"/>
    <w:semiHidden/>
    <w:qFormat/>
    <w:rPr>
      <w:rFonts w:ascii="宋体" w:eastAsia="宋体" w:hAnsi="宋体" w:cs="宋体"/>
      <w:sz w:val="18"/>
      <w:szCs w:val="18"/>
      <w:lang w:val="zh-CN" w:eastAsia="zh-CN" w:bidi="zh-CN"/>
    </w:rPr>
  </w:style>
  <w:style w:type="character" w:customStyle="1" w:styleId="read">
    <w:name w:val="read"/>
    <w:basedOn w:val="a0"/>
    <w:qFormat/>
  </w:style>
  <w:style w:type="paragraph" w:customStyle="1" w:styleId="11">
    <w:name w:val="修订1"/>
    <w:hidden/>
    <w:uiPriority w:val="99"/>
    <w:semiHidden/>
    <w:qFormat/>
    <w:rPr>
      <w:rFonts w:ascii="宋体" w:eastAsia="宋体" w:hAnsi="宋体" w:cs="宋体"/>
      <w:sz w:val="22"/>
      <w:szCs w:val="22"/>
      <w:lang w:val="zh-CN" w:bidi="zh-CN"/>
    </w:rPr>
  </w:style>
  <w:style w:type="paragraph" w:customStyle="1" w:styleId="20">
    <w:name w:val="修订2"/>
    <w:hidden/>
    <w:uiPriority w:val="99"/>
    <w:semiHidden/>
    <w:qFormat/>
    <w:rPr>
      <w:rFonts w:ascii="宋体" w:eastAsia="宋体" w:hAnsi="宋体" w:cs="宋体"/>
      <w:sz w:val="22"/>
      <w:szCs w:val="22"/>
      <w:lang w:val="zh-CN" w:bidi="zh-CN"/>
    </w:rPr>
  </w:style>
  <w:style w:type="paragraph" w:styleId="ad">
    <w:name w:val="Revision"/>
    <w:hidden/>
    <w:uiPriority w:val="99"/>
    <w:semiHidden/>
    <w:rsid w:val="00611A54"/>
    <w:rPr>
      <w:rFonts w:ascii="宋体" w:eastAsia="宋体" w:hAnsi="宋体" w:cs="宋体"/>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4374B6-4ECB-4AD4-9C1F-C81BAF333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29</Pages>
  <Words>3893</Words>
  <Characters>22191</Characters>
  <Application>Microsoft Office Word</Application>
  <DocSecurity>0</DocSecurity>
  <Lines>184</Lines>
  <Paragraphs>52</Paragraphs>
  <ScaleCrop>false</ScaleCrop>
  <Company/>
  <LinksUpToDate>false</LinksUpToDate>
  <CharactersWithSpaces>26032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LIUJIAPENG</dc:creator>
  <cp:lastModifiedBy>莫静雅</cp:lastModifiedBy>
  <cp:revision>66</cp:revision>
  <cp:lastPrinted>2025-06-13T08:44:00Z</cp:lastPrinted>
  <dcterms:created xsi:type="dcterms:W3CDTF">2025-03-11T01:59:00Z</dcterms:created>
  <dcterms:modified xsi:type="dcterms:W3CDTF">2025-06-26T07:21:00Z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2018-05-23T00:00:00Z</vt:filetime>
  </property>
  <property fmtid="{D5CDD505-2E9C-101B-9397-08002B2CF9AE}" pid="3" name="Creator">
    <vt:lpwstr>Microsoft® Word 2013</vt:lpwstr>
  </property>
  <property fmtid="{D5CDD505-2E9C-101B-9397-08002B2CF9AE}" pid="4" name="LastSaved">
    <vt:filetime>2018-06-08T00:00:00Z</vt:filetime>
  </property>
  <property fmtid="{D5CDD505-2E9C-101B-9397-08002B2CF9AE}" pid="5" name="KSOTemplateDocerSaveRecord">
    <vt:lpwstr>eyJoZGlkIjoiMGM4YTdmYzVmY2ZiOTdlY2FkZWE5MzNiMjNmNDUxNmQiLCJ1c2VySWQiOiIxMDQwNDEzNTc3In0=</vt:lpwstr>
  </property>
  <property fmtid="{D5CDD505-2E9C-101B-9397-08002B2CF9AE}" pid="6" name="KSOProductBuildVer">
    <vt:lpwstr>2052-12.1.0.21171</vt:lpwstr>
  </property>
  <property fmtid="{D5CDD505-2E9C-101B-9397-08002B2CF9AE}" pid="7" name="ICV">
    <vt:lpwstr>7788DBF4DF544AA693673D239C6AD813_13</vt:lpwstr>
  </property>
</Properties>
</file>