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ind w:left="0" w:firstLine="0"/>
        <w:rPr>
          <w:rFonts w:hint="eastAsia" w:ascii="Times New Roman"/>
          <w:color w:val="000000" w:themeColor="text1"/>
          <w:sz w:val="20"/>
          <w14:textFill>
            <w14:solidFill>
              <w14:schemeClr w14:val="tx1"/>
            </w14:solidFill>
          </w14:textFill>
        </w:rPr>
      </w:pPr>
      <w:bookmarkStart w:id="0" w:name="_Hlk89264873"/>
    </w:p>
    <w:p>
      <w:pPr>
        <w:pStyle w:val="5"/>
        <w:spacing w:before="0"/>
        <w:ind w:left="0" w:firstLine="0"/>
        <w:rPr>
          <w:rFonts w:hint="eastAsia" w:ascii="Times New Roman"/>
          <w:color w:val="000000" w:themeColor="text1"/>
          <w:sz w:val="20"/>
          <w14:textFill>
            <w14:solidFill>
              <w14:schemeClr w14:val="tx1"/>
            </w14:solidFill>
          </w14:textFill>
        </w:rPr>
      </w:pPr>
    </w:p>
    <w:p>
      <w:pPr>
        <w:pStyle w:val="5"/>
        <w:spacing w:before="0"/>
        <w:ind w:left="0" w:firstLine="0"/>
        <w:rPr>
          <w:rFonts w:hint="eastAsia" w:ascii="Times New Roman"/>
          <w:color w:val="000000" w:themeColor="text1"/>
          <w:sz w:val="20"/>
          <w14:textFill>
            <w14:solidFill>
              <w14:schemeClr w14:val="tx1"/>
            </w14:solidFill>
          </w14:textFill>
        </w:rPr>
      </w:pPr>
    </w:p>
    <w:p>
      <w:pPr>
        <w:pStyle w:val="5"/>
        <w:spacing w:before="0"/>
        <w:ind w:left="0" w:firstLine="0"/>
        <w:rPr>
          <w:rFonts w:hint="eastAsia" w:ascii="Times New Roman"/>
          <w:color w:val="000000" w:themeColor="text1"/>
          <w:sz w:val="20"/>
          <w14:textFill>
            <w14:solidFill>
              <w14:schemeClr w14:val="tx1"/>
            </w14:solidFill>
          </w14:textFill>
        </w:rPr>
      </w:pPr>
    </w:p>
    <w:p>
      <w:pPr>
        <w:pStyle w:val="5"/>
        <w:spacing w:before="10"/>
        <w:ind w:left="0" w:firstLine="0"/>
        <w:rPr>
          <w:rFonts w:hint="eastAsia" w:ascii="Times New Roman"/>
          <w:color w:val="000000" w:themeColor="text1"/>
          <w:sz w:val="23"/>
          <w14:textFill>
            <w14:solidFill>
              <w14:schemeClr w14:val="tx1"/>
            </w14:solidFill>
          </w14:textFill>
        </w:rPr>
      </w:pPr>
    </w:p>
    <w:p>
      <w:pPr>
        <w:tabs>
          <w:tab w:val="left" w:pos="7230"/>
        </w:tabs>
        <w:spacing w:line="720" w:lineRule="auto"/>
        <w:ind w:right="42"/>
        <w:jc w:val="center"/>
        <w:rPr>
          <w:rFonts w:hint="eastAsia"/>
          <w:b/>
          <w:color w:val="000000" w:themeColor="text1"/>
          <w:sz w:val="44"/>
          <w14:textFill>
            <w14:solidFill>
              <w14:schemeClr w14:val="tx1"/>
            </w14:solidFill>
          </w14:textFill>
        </w:rPr>
      </w:pPr>
      <w:r>
        <w:rPr>
          <w:rFonts w:hint="eastAsia"/>
          <w:b/>
          <w:color w:val="000000" w:themeColor="text1"/>
          <w:sz w:val="44"/>
          <w14:textFill>
            <w14:solidFill>
              <w14:schemeClr w14:val="tx1"/>
            </w14:solidFill>
          </w14:textFill>
        </w:rPr>
        <w:t>中海</w:t>
      </w:r>
      <w:r>
        <w:rPr>
          <w:b/>
          <w:color w:val="000000" w:themeColor="text1"/>
          <w:sz w:val="44"/>
          <w14:textFill>
            <w14:solidFill>
              <w14:schemeClr w14:val="tx1"/>
            </w14:solidFill>
          </w14:textFill>
        </w:rPr>
        <w:t>基金管理有限公司</w:t>
      </w:r>
    </w:p>
    <w:p>
      <w:pPr>
        <w:tabs>
          <w:tab w:val="left" w:pos="7230"/>
        </w:tabs>
        <w:spacing w:line="720" w:lineRule="auto"/>
        <w:ind w:right="42"/>
        <w:jc w:val="center"/>
        <w:rPr>
          <w:rFonts w:hint="eastAsia"/>
          <w:b/>
          <w:color w:val="000000" w:themeColor="text1"/>
          <w:sz w:val="44"/>
          <w14:textFill>
            <w14:solidFill>
              <w14:schemeClr w14:val="tx1"/>
            </w14:solidFill>
          </w14:textFill>
        </w:rPr>
      </w:pPr>
    </w:p>
    <w:p>
      <w:pPr>
        <w:tabs>
          <w:tab w:val="left" w:pos="7230"/>
        </w:tabs>
        <w:spacing w:line="720" w:lineRule="auto"/>
        <w:ind w:right="42"/>
        <w:jc w:val="center"/>
        <w:rPr>
          <w:rFonts w:hint="eastAsia"/>
          <w:b/>
          <w:color w:val="000000" w:themeColor="text1"/>
          <w:sz w:val="44"/>
          <w14:textFill>
            <w14:solidFill>
              <w14:schemeClr w14:val="tx1"/>
            </w14:solidFill>
          </w14:textFill>
        </w:rPr>
      </w:pPr>
      <w:r>
        <w:rPr>
          <w:rFonts w:hint="eastAsia"/>
          <w:b/>
          <w:color w:val="000000" w:themeColor="text1"/>
          <w:sz w:val="44"/>
          <w14:textFill>
            <w14:solidFill>
              <w14:schemeClr w14:val="tx1"/>
            </w14:solidFill>
          </w14:textFill>
        </w:rPr>
        <w:t>中海铭嘉债券型证券投资基金</w:t>
      </w:r>
    </w:p>
    <w:p>
      <w:pPr>
        <w:tabs>
          <w:tab w:val="left" w:pos="7230"/>
        </w:tabs>
        <w:spacing w:line="720" w:lineRule="auto"/>
        <w:ind w:right="42"/>
        <w:jc w:val="center"/>
        <w:rPr>
          <w:rFonts w:hint="eastAsia"/>
          <w:b/>
          <w:color w:val="000000" w:themeColor="text1"/>
          <w:sz w:val="44"/>
          <w14:textFill>
            <w14:solidFill>
              <w14:schemeClr w14:val="tx1"/>
            </w14:solidFill>
          </w14:textFill>
        </w:rPr>
      </w:pPr>
      <w:r>
        <w:rPr>
          <w:b/>
          <w:color w:val="000000" w:themeColor="text1"/>
          <w:sz w:val="44"/>
          <w14:textFill>
            <w14:solidFill>
              <w14:schemeClr w14:val="tx1"/>
            </w14:solidFill>
          </w14:textFill>
        </w:rPr>
        <w:t>基金合同</w:t>
      </w:r>
    </w:p>
    <w:p>
      <w:pPr>
        <w:tabs>
          <w:tab w:val="left" w:pos="7230"/>
        </w:tabs>
        <w:spacing w:line="720" w:lineRule="auto"/>
        <w:ind w:right="42"/>
        <w:jc w:val="center"/>
        <w:rPr>
          <w:rFonts w:hint="eastAsia"/>
          <w:b/>
          <w:color w:val="000000" w:themeColor="text1"/>
          <w:sz w:val="44"/>
          <w14:textFill>
            <w14:solidFill>
              <w14:schemeClr w14:val="tx1"/>
            </w14:solidFill>
          </w14:textFill>
        </w:rPr>
      </w:pPr>
    </w:p>
    <w:p>
      <w:pPr>
        <w:tabs>
          <w:tab w:val="left" w:pos="7230"/>
        </w:tabs>
        <w:spacing w:line="720" w:lineRule="auto"/>
        <w:ind w:right="42"/>
        <w:jc w:val="center"/>
        <w:rPr>
          <w:rFonts w:hint="eastAsia"/>
          <w:b/>
          <w:color w:val="000000" w:themeColor="text1"/>
          <w:sz w:val="44"/>
          <w14:textFill>
            <w14:solidFill>
              <w14:schemeClr w14:val="tx1"/>
            </w14:solidFill>
          </w14:textFill>
        </w:rPr>
      </w:pPr>
    </w:p>
    <w:p>
      <w:pPr>
        <w:tabs>
          <w:tab w:val="left" w:pos="7230"/>
        </w:tabs>
        <w:spacing w:line="720" w:lineRule="auto"/>
        <w:ind w:right="42"/>
        <w:jc w:val="center"/>
        <w:rPr>
          <w:rFonts w:hint="eastAsia"/>
          <w:b/>
          <w:color w:val="000000" w:themeColor="text1"/>
          <w:sz w:val="44"/>
          <w14:textFill>
            <w14:solidFill>
              <w14:schemeClr w14:val="tx1"/>
            </w14:solidFill>
          </w14:textFill>
        </w:rPr>
      </w:pPr>
    </w:p>
    <w:p>
      <w:pPr>
        <w:tabs>
          <w:tab w:val="left" w:pos="7230"/>
        </w:tabs>
        <w:spacing w:line="720" w:lineRule="auto"/>
        <w:ind w:right="42"/>
        <w:jc w:val="center"/>
        <w:rPr>
          <w:rFonts w:hint="eastAsia"/>
          <w:b/>
          <w:color w:val="000000" w:themeColor="text1"/>
          <w:sz w:val="36"/>
          <w:szCs w:val="20"/>
          <w14:textFill>
            <w14:solidFill>
              <w14:schemeClr w14:val="tx1"/>
            </w14:solidFill>
          </w14:textFill>
        </w:rPr>
      </w:pPr>
      <w:r>
        <w:rPr>
          <w:b/>
          <w:color w:val="000000" w:themeColor="text1"/>
          <w:sz w:val="36"/>
          <w:szCs w:val="20"/>
          <w14:textFill>
            <w14:solidFill>
              <w14:schemeClr w14:val="tx1"/>
            </w14:solidFill>
          </w14:textFill>
        </w:rPr>
        <w:t>基金管理人：</w:t>
      </w:r>
      <w:r>
        <w:rPr>
          <w:rFonts w:hint="eastAsia"/>
          <w:b/>
          <w:color w:val="000000" w:themeColor="text1"/>
          <w:sz w:val="36"/>
          <w:szCs w:val="20"/>
          <w14:textFill>
            <w14:solidFill>
              <w14:schemeClr w14:val="tx1"/>
            </w14:solidFill>
          </w14:textFill>
        </w:rPr>
        <w:t>中海</w:t>
      </w:r>
      <w:r>
        <w:rPr>
          <w:b/>
          <w:color w:val="000000" w:themeColor="text1"/>
          <w:sz w:val="36"/>
          <w:szCs w:val="20"/>
          <w14:textFill>
            <w14:solidFill>
              <w14:schemeClr w14:val="tx1"/>
            </w14:solidFill>
          </w14:textFill>
        </w:rPr>
        <w:t>基金管理有限公司</w:t>
      </w:r>
    </w:p>
    <w:p>
      <w:pPr>
        <w:tabs>
          <w:tab w:val="left" w:pos="7230"/>
        </w:tabs>
        <w:spacing w:line="720" w:lineRule="auto"/>
        <w:ind w:right="42"/>
        <w:jc w:val="center"/>
        <w:rPr>
          <w:rFonts w:hint="eastAsia"/>
          <w:b/>
          <w:color w:val="000000" w:themeColor="text1"/>
          <w:sz w:val="36"/>
          <w:szCs w:val="20"/>
          <w14:textFill>
            <w14:solidFill>
              <w14:schemeClr w14:val="tx1"/>
            </w14:solidFill>
          </w14:textFill>
        </w:rPr>
      </w:pPr>
      <w:r>
        <w:rPr>
          <w:b/>
          <w:color w:val="000000" w:themeColor="text1"/>
          <w:sz w:val="36"/>
          <w:szCs w:val="20"/>
          <w14:textFill>
            <w14:solidFill>
              <w14:schemeClr w14:val="tx1"/>
            </w14:solidFill>
          </w14:textFill>
        </w:rPr>
        <w:t>基金托管人：</w:t>
      </w:r>
      <w:r>
        <w:rPr>
          <w:rFonts w:hint="eastAsia"/>
          <w:b/>
          <w:color w:val="000000" w:themeColor="text1"/>
          <w:sz w:val="36"/>
          <w:szCs w:val="20"/>
          <w14:textFill>
            <w14:solidFill>
              <w14:schemeClr w14:val="tx1"/>
            </w14:solidFill>
          </w14:textFill>
        </w:rPr>
        <w:t>国金证券股份有限公司</w:t>
      </w:r>
    </w:p>
    <w:p>
      <w:pPr>
        <w:pStyle w:val="5"/>
        <w:spacing w:before="0"/>
        <w:ind w:left="0" w:firstLine="0"/>
        <w:rPr>
          <w:rFonts w:hint="eastAsia"/>
          <w:b/>
          <w:color w:val="000000" w:themeColor="text1"/>
          <w:sz w:val="36"/>
          <w14:textFill>
            <w14:solidFill>
              <w14:schemeClr w14:val="tx1"/>
            </w14:solidFill>
          </w14:textFill>
        </w:rPr>
      </w:pPr>
    </w:p>
    <w:p>
      <w:pPr>
        <w:pStyle w:val="5"/>
        <w:spacing w:before="0"/>
        <w:ind w:left="0" w:firstLine="0"/>
        <w:rPr>
          <w:rFonts w:hint="eastAsia"/>
          <w:b/>
          <w:color w:val="000000" w:themeColor="text1"/>
          <w:sz w:val="36"/>
          <w14:textFill>
            <w14:solidFill>
              <w14:schemeClr w14:val="tx1"/>
            </w14:solidFill>
          </w14:textFill>
        </w:rPr>
      </w:pPr>
      <w:r>
        <w:rPr>
          <w:b/>
          <w:color w:val="000000" w:themeColor="text1"/>
          <w:sz w:val="36"/>
          <w14:textFill>
            <w14:solidFill>
              <w14:schemeClr w14:val="tx1"/>
            </w14:solidFill>
          </w14:textFill>
        </w:rPr>
        <w:br w:type="page"/>
      </w:r>
    </w:p>
    <w:bookmarkEnd w:id="0"/>
    <w:p>
      <w:pPr>
        <w:pStyle w:val="3"/>
        <w:tabs>
          <w:tab w:val="left" w:pos="837"/>
        </w:tabs>
        <w:rPr>
          <w:rFonts w:hint="eastAsia"/>
          <w:b/>
          <w:bCs/>
          <w:color w:val="000000" w:themeColor="text1"/>
          <w14:textFill>
            <w14:solidFill>
              <w14:schemeClr w14:val="tx1"/>
            </w14:solidFill>
          </w14:textFill>
        </w:rPr>
      </w:pPr>
      <w:bookmarkStart w:id="1" w:name="_Toc173413656"/>
      <w:r>
        <w:rPr>
          <w:b/>
          <w:bCs/>
          <w:color w:val="000000" w:themeColor="text1"/>
          <w14:textFill>
            <w14:solidFill>
              <w14:schemeClr w14:val="tx1"/>
            </w14:solidFill>
          </w14:textFill>
        </w:rPr>
        <w:t>目</w:t>
      </w:r>
      <w:r>
        <w:rPr>
          <w:b/>
          <w:bCs/>
          <w:color w:val="000000" w:themeColor="text1"/>
          <w14:textFill>
            <w14:solidFill>
              <w14:schemeClr w14:val="tx1"/>
            </w14:solidFill>
          </w14:textFill>
        </w:rPr>
        <w:tab/>
      </w:r>
      <w:r>
        <w:rPr>
          <w:b/>
          <w:bCs/>
          <w:color w:val="000000" w:themeColor="text1"/>
          <w14:textFill>
            <w14:solidFill>
              <w14:schemeClr w14:val="tx1"/>
            </w14:solidFill>
          </w14:textFill>
        </w:rPr>
        <w:t>录</w:t>
      </w:r>
      <w:bookmarkEnd w:id="1"/>
    </w:p>
    <w:sdt>
      <w:sdtPr>
        <w:rPr>
          <w:rFonts w:ascii="宋体" w:hAnsi="宋体" w:eastAsia="宋体" w:cs="宋体"/>
          <w:color w:val="000000" w:themeColor="text1"/>
          <w:lang w:val="zh-CN" w:bidi="zh-CN"/>
          <w14:textFill>
            <w14:solidFill>
              <w14:schemeClr w14:val="tx1"/>
            </w14:solidFill>
          </w14:textFill>
        </w:rPr>
        <w:id w:val="-284891109"/>
        <w:docPartObj>
          <w:docPartGallery w:val="Table of Contents"/>
          <w:docPartUnique/>
        </w:docPartObj>
      </w:sdtPr>
      <w:sdtEndPr>
        <w:rPr>
          <w:rFonts w:ascii="宋体" w:hAnsi="宋体" w:eastAsia="宋体" w:cs="宋体"/>
          <w:b/>
          <w:bCs/>
          <w:color w:val="000000" w:themeColor="text1"/>
          <w:lang w:val="zh-CN" w:bidi="zh-CN"/>
          <w14:textFill>
            <w14:solidFill>
              <w14:schemeClr w14:val="tx1"/>
            </w14:solidFill>
          </w14:textFill>
        </w:rPr>
      </w:sdtEndPr>
      <w:sdtContent>
        <w:p>
          <w:pPr>
            <w:pStyle w:val="12"/>
            <w:tabs>
              <w:tab w:val="left" w:pos="880"/>
              <w:tab w:val="right" w:leader="dot" w:pos="8822"/>
            </w:tabs>
            <w:rPr>
              <w:rFonts w:hint="eastAsia" w:cstheme="minorBidi"/>
              <w:color w:val="000000" w:themeColor="text1"/>
              <w:kern w:val="2"/>
              <w:szCs w:val="24"/>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p>
        <w:p>
          <w:pPr>
            <w:pStyle w:val="11"/>
            <w:tabs>
              <w:tab w:val="left" w:pos="132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"_Toc173413657" </w:instrText>
          </w:r>
          <w:r>
            <w:fldChar w:fldCharType="separate"/>
          </w:r>
          <w:r>
            <w:rPr>
              <w:rStyle w:val="16"/>
              <w:rFonts w:hint="eastAsia"/>
              <w:b/>
              <w:bCs/>
              <w:color w:val="000000" w:themeColor="text1"/>
              <w14:textFill>
                <w14:solidFill>
                  <w14:schemeClr w14:val="tx1"/>
                </w14:solidFill>
              </w14:textFill>
            </w:rPr>
            <w:t>第一部分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前言</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_Toc173413657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32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"_Toc173413658" </w:instrText>
          </w:r>
          <w:r>
            <w:fldChar w:fldCharType="separate"/>
          </w:r>
          <w:r>
            <w:rPr>
              <w:rStyle w:val="16"/>
              <w:rFonts w:hint="eastAsia"/>
              <w:b/>
              <w:bCs/>
              <w:color w:val="000000" w:themeColor="text1"/>
              <w14:textFill>
                <w14:solidFill>
                  <w14:schemeClr w14:val="tx1"/>
                </w14:solidFill>
              </w14:textFill>
            </w:rPr>
            <w:t>第二部分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释义</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_Toc173413658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32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"_Toc173413659" </w:instrText>
          </w:r>
          <w:r>
            <w:fldChar w:fldCharType="separate"/>
          </w:r>
          <w:r>
            <w:rPr>
              <w:rStyle w:val="16"/>
              <w:rFonts w:hint="eastAsia"/>
              <w:b/>
              <w:bCs/>
              <w:color w:val="000000" w:themeColor="text1"/>
              <w14:textFill>
                <w14:solidFill>
                  <w14:schemeClr w14:val="tx1"/>
                </w14:solidFill>
              </w14:textFill>
            </w:rPr>
            <w:t>第三部分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基金的基本情况</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_Toc173413659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32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"_Toc173413660" </w:instrText>
          </w:r>
          <w:r>
            <w:fldChar w:fldCharType="separate"/>
          </w:r>
          <w:r>
            <w:rPr>
              <w:rStyle w:val="16"/>
              <w:rFonts w:hint="eastAsia"/>
              <w:b/>
              <w:bCs/>
              <w:color w:val="000000" w:themeColor="text1"/>
              <w14:textFill>
                <w14:solidFill>
                  <w14:schemeClr w14:val="tx1"/>
                </w14:solidFill>
              </w14:textFill>
            </w:rPr>
            <w:t>第四部分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基金份额的发售</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_Toc173413660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32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"_Toc173413661" </w:instrText>
          </w:r>
          <w:r>
            <w:fldChar w:fldCharType="separate"/>
          </w:r>
          <w:r>
            <w:rPr>
              <w:rStyle w:val="16"/>
              <w:rFonts w:hint="eastAsia"/>
              <w:b/>
              <w:bCs/>
              <w:color w:val="000000" w:themeColor="text1"/>
              <w14:textFill>
                <w14:solidFill>
                  <w14:schemeClr w14:val="tx1"/>
                </w14:solidFill>
              </w14:textFill>
            </w:rPr>
            <w:t>第五部分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基金备案</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_Toc173413661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32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"_Toc173413662" </w:instrText>
          </w:r>
          <w:r>
            <w:fldChar w:fldCharType="separate"/>
          </w:r>
          <w:r>
            <w:rPr>
              <w:rStyle w:val="16"/>
              <w:rFonts w:hint="eastAsia"/>
              <w:b/>
              <w:bCs/>
              <w:color w:val="000000" w:themeColor="text1"/>
              <w14:textFill>
                <w14:solidFill>
                  <w14:schemeClr w14:val="tx1"/>
                </w14:solidFill>
              </w14:textFill>
            </w:rPr>
            <w:t>第六部分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基金份额的申购与赎回</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_Toc173413662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32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"_Toc173413663" </w:instrText>
          </w:r>
          <w:r>
            <w:fldChar w:fldCharType="separate"/>
          </w:r>
          <w:r>
            <w:rPr>
              <w:rStyle w:val="16"/>
              <w:rFonts w:hint="eastAsia"/>
              <w:b/>
              <w:bCs/>
              <w:color w:val="000000" w:themeColor="text1"/>
              <w14:textFill>
                <w14:solidFill>
                  <w14:schemeClr w14:val="tx1"/>
                </w14:solidFill>
              </w14:textFill>
            </w:rPr>
            <w:t>第七部分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基金合同当事人及权利义务</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_Toc173413663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32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"_Toc173413664" </w:instrText>
          </w:r>
          <w:r>
            <w:fldChar w:fldCharType="separate"/>
          </w:r>
          <w:r>
            <w:rPr>
              <w:rStyle w:val="16"/>
              <w:rFonts w:hint="eastAsia"/>
              <w:b/>
              <w:bCs/>
              <w:color w:val="000000" w:themeColor="text1"/>
              <w14:textFill>
                <w14:solidFill>
                  <w14:schemeClr w14:val="tx1"/>
                </w14:solidFill>
              </w14:textFill>
            </w:rPr>
            <w:t>第八部分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基金份额持有人大会</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_Toc173413664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32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"_Toc173413665" </w:instrText>
          </w:r>
          <w:r>
            <w:fldChar w:fldCharType="separate"/>
          </w:r>
          <w:r>
            <w:rPr>
              <w:rStyle w:val="16"/>
              <w:rFonts w:hint="eastAsia"/>
              <w:b/>
              <w:bCs/>
              <w:color w:val="000000" w:themeColor="text1"/>
              <w14:textFill>
                <w14:solidFill>
                  <w14:schemeClr w14:val="tx1"/>
                </w14:solidFill>
              </w14:textFill>
            </w:rPr>
            <w:t>第九部分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基金管理人、基金托管人的更换条件和程序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_Toc173413665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32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"_Toc173413666" </w:instrText>
          </w:r>
          <w:r>
            <w:fldChar w:fldCharType="separate"/>
          </w:r>
          <w:r>
            <w:rPr>
              <w:rStyle w:val="16"/>
              <w:rFonts w:hint="eastAsia"/>
              <w:b/>
              <w:bCs/>
              <w:color w:val="000000" w:themeColor="text1"/>
              <w14:textFill>
                <w14:solidFill>
                  <w14:schemeClr w14:val="tx1"/>
                </w14:solidFill>
              </w14:textFill>
            </w:rPr>
            <w:t>第十部分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基金的托管</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_Toc173413666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76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"_Toc173413667" </w:instrText>
          </w:r>
          <w:r>
            <w:fldChar w:fldCharType="separate"/>
          </w:r>
          <w:r>
            <w:rPr>
              <w:rStyle w:val="16"/>
              <w:rFonts w:hint="eastAsia"/>
              <w:b/>
              <w:bCs/>
              <w:color w:val="000000" w:themeColor="text1"/>
              <w14:textFill>
                <w14:solidFill>
                  <w14:schemeClr w14:val="tx1"/>
                </w14:solidFill>
              </w14:textFill>
            </w:rPr>
            <w:t>第十一部分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基金份额的登记</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_Toc173413667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76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"_Toc173413668" </w:instrText>
          </w:r>
          <w:r>
            <w:fldChar w:fldCharType="separate"/>
          </w:r>
          <w:r>
            <w:rPr>
              <w:rStyle w:val="16"/>
              <w:rFonts w:hint="eastAsia"/>
              <w:b/>
              <w:bCs/>
              <w:color w:val="000000" w:themeColor="text1"/>
              <w14:textFill>
                <w14:solidFill>
                  <w14:schemeClr w14:val="tx1"/>
                </w14:solidFill>
              </w14:textFill>
            </w:rPr>
            <w:t>第十二部分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基金的投资</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_Toc173413668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76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"_Toc173413669" </w:instrText>
          </w:r>
          <w:r>
            <w:fldChar w:fldCharType="separate"/>
          </w:r>
          <w:r>
            <w:rPr>
              <w:rStyle w:val="16"/>
              <w:rFonts w:hint="eastAsia"/>
              <w:b/>
              <w:bCs/>
              <w:color w:val="000000" w:themeColor="text1"/>
              <w14:textFill>
                <w14:solidFill>
                  <w14:schemeClr w14:val="tx1"/>
                </w14:solidFill>
              </w14:textFill>
            </w:rPr>
            <w:t>第十三部分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基金的财产</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_Toc173413669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76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"_Toc173413670" </w:instrText>
          </w:r>
          <w:r>
            <w:fldChar w:fldCharType="separate"/>
          </w:r>
          <w:r>
            <w:rPr>
              <w:rStyle w:val="16"/>
              <w:rFonts w:hint="eastAsia"/>
              <w:b/>
              <w:bCs/>
              <w:color w:val="000000" w:themeColor="text1"/>
              <w14:textFill>
                <w14:solidFill>
                  <w14:schemeClr w14:val="tx1"/>
                </w14:solidFill>
              </w14:textFill>
            </w:rPr>
            <w:t>第十四部分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基金资产估值</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_Toc173413670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76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"_Toc173413671" </w:instrText>
          </w:r>
          <w:r>
            <w:fldChar w:fldCharType="separate"/>
          </w:r>
          <w:r>
            <w:rPr>
              <w:rStyle w:val="16"/>
              <w:rFonts w:hint="eastAsia"/>
              <w:b/>
              <w:bCs/>
              <w:color w:val="000000" w:themeColor="text1"/>
              <w14:textFill>
                <w14:solidFill>
                  <w14:schemeClr w14:val="tx1"/>
                </w14:solidFill>
              </w14:textFill>
            </w:rPr>
            <w:t>第十五部分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基金费用与税收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_Toc173413671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76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"_Toc173413672" </w:instrText>
          </w:r>
          <w:r>
            <w:fldChar w:fldCharType="separate"/>
          </w:r>
          <w:r>
            <w:rPr>
              <w:rStyle w:val="16"/>
              <w:rFonts w:hint="eastAsia"/>
              <w:b/>
              <w:bCs/>
              <w:color w:val="000000" w:themeColor="text1"/>
              <w14:textFill>
                <w14:solidFill>
                  <w14:schemeClr w14:val="tx1"/>
                </w14:solidFill>
              </w14:textFill>
            </w:rPr>
            <w:t>第十六部分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基金的收益与分配</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_Toc173413672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76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"_Toc173413673" </w:instrText>
          </w:r>
          <w:r>
            <w:fldChar w:fldCharType="separate"/>
          </w:r>
          <w:r>
            <w:rPr>
              <w:rStyle w:val="16"/>
              <w:rFonts w:hint="eastAsia"/>
              <w:b/>
              <w:bCs/>
              <w:color w:val="000000" w:themeColor="text1"/>
              <w14:textFill>
                <w14:solidFill>
                  <w14:schemeClr w14:val="tx1"/>
                </w14:solidFill>
              </w14:textFill>
            </w:rPr>
            <w:t>第十七部分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基金的会计与审计</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_Toc173413673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76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"_Toc173413674" </w:instrText>
          </w:r>
          <w:r>
            <w:fldChar w:fldCharType="separate"/>
          </w:r>
          <w:r>
            <w:rPr>
              <w:rStyle w:val="16"/>
              <w:rFonts w:hint="eastAsia"/>
              <w:b/>
              <w:bCs/>
              <w:color w:val="000000" w:themeColor="text1"/>
              <w14:textFill>
                <w14:solidFill>
                  <w14:schemeClr w14:val="tx1"/>
                </w14:solidFill>
              </w14:textFill>
            </w:rPr>
            <w:t>第十八部分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基金的信息披露</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_Toc173413674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76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"_Toc173413675" </w:instrText>
          </w:r>
          <w:r>
            <w:fldChar w:fldCharType="separate"/>
          </w:r>
          <w:r>
            <w:rPr>
              <w:rStyle w:val="16"/>
              <w:rFonts w:hint="eastAsia"/>
              <w:b/>
              <w:bCs/>
              <w:color w:val="000000" w:themeColor="text1"/>
              <w14:textFill>
                <w14:solidFill>
                  <w14:schemeClr w14:val="tx1"/>
                </w14:solidFill>
              </w14:textFill>
            </w:rPr>
            <w:t>第十九部分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基金合同的变更、终止与基金财产的清算</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_Toc173413675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760"/>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"_Toc173413676" </w:instrText>
          </w:r>
          <w:r>
            <w:fldChar w:fldCharType="separate"/>
          </w:r>
          <w:r>
            <w:rPr>
              <w:rStyle w:val="16"/>
              <w:rFonts w:hint="eastAsia"/>
              <w:b/>
              <w:bCs/>
              <w:color w:val="000000" w:themeColor="text1"/>
              <w14:textFill>
                <w14:solidFill>
                  <w14:schemeClr w14:val="tx1"/>
                </w14:solidFill>
              </w14:textFill>
            </w:rPr>
            <w:t>第二十部分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违约责任</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_Toc173413676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786"/>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"_Toc173413677" </w:instrText>
          </w:r>
          <w:r>
            <w:fldChar w:fldCharType="separate"/>
          </w:r>
          <w:r>
            <w:rPr>
              <w:rStyle w:val="16"/>
              <w:rFonts w:hint="eastAsia"/>
              <w:b/>
              <w:bCs/>
              <w:color w:val="000000" w:themeColor="text1"/>
              <w14:textFill>
                <w14:solidFill>
                  <w14:schemeClr w14:val="tx1"/>
                </w14:solidFill>
              </w14:textFill>
            </w:rPr>
            <w:t>第二十一部分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争议的处理和适用的法律</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_Toc173413677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786"/>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"_Toc173413678" </w:instrText>
          </w:r>
          <w:r>
            <w:fldChar w:fldCharType="separate"/>
          </w:r>
          <w:r>
            <w:rPr>
              <w:rStyle w:val="16"/>
              <w:rFonts w:hint="eastAsia"/>
              <w:b/>
              <w:bCs/>
              <w:color w:val="000000" w:themeColor="text1"/>
              <w14:textFill>
                <w14:solidFill>
                  <w14:schemeClr w14:val="tx1"/>
                </w14:solidFill>
              </w14:textFill>
            </w:rPr>
            <w:t>第二十二部分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基金合同的效力</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_Toc173413678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786"/>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"_Toc173413679" </w:instrText>
          </w:r>
          <w:r>
            <w:fldChar w:fldCharType="separate"/>
          </w:r>
          <w:r>
            <w:rPr>
              <w:rStyle w:val="16"/>
              <w:rFonts w:hint="eastAsia"/>
              <w:b/>
              <w:bCs/>
              <w:color w:val="000000" w:themeColor="text1"/>
              <w14:textFill>
                <w14:solidFill>
                  <w14:schemeClr w14:val="tx1"/>
                </w14:solidFill>
              </w14:textFill>
            </w:rPr>
            <w:t>第二十三部分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其他事项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_Toc173413679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pStyle w:val="11"/>
            <w:tabs>
              <w:tab w:val="left" w:pos="1786"/>
              <w:tab w:val="right" w:leader="dot" w:pos="8822"/>
            </w:tabs>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pPr>
          <w:r>
            <w:fldChar w:fldCharType="begin"/>
          </w:r>
          <w:r>
            <w:instrText xml:space="preserve"> HYPERLINK \l "_Toc173413680" </w:instrText>
          </w:r>
          <w:r>
            <w:fldChar w:fldCharType="separate"/>
          </w:r>
          <w:r>
            <w:rPr>
              <w:rStyle w:val="16"/>
              <w:rFonts w:hint="eastAsia"/>
              <w:b/>
              <w:bCs/>
              <w:color w:val="000000" w:themeColor="text1"/>
              <w14:textFill>
                <w14:solidFill>
                  <w14:schemeClr w14:val="tx1"/>
                </w14:solidFill>
              </w14:textFill>
            </w:rPr>
            <w:t>第二十四部分</w:t>
          </w:r>
          <w:r>
            <w:rPr>
              <w:rFonts w:hint="eastAsia" w:asciiTheme="minorHAnsi" w:hAnsiTheme="minorHAnsi" w:eastAsiaTheme="minorEastAsia" w:cstheme="minorBidi"/>
              <w:color w:val="000000" w:themeColor="text1"/>
              <w:kern w:val="2"/>
              <w:sz w:val="22"/>
              <w:lang w:val="en-US" w:bidi="ar-SA"/>
              <w14:textFill>
                <w14:solidFill>
                  <w14:schemeClr w14:val="tx1"/>
                </w14:solidFill>
              </w14:textFill>
              <w14:ligatures w14:val="standardContextual"/>
            </w:rPr>
            <w:tab/>
          </w:r>
          <w:r>
            <w:rPr>
              <w:rStyle w:val="16"/>
              <w:rFonts w:hint="eastAsia"/>
              <w:b/>
              <w:bCs/>
              <w:color w:val="000000" w:themeColor="text1"/>
              <w14:textFill>
                <w14:solidFill>
                  <w14:schemeClr w14:val="tx1"/>
                </w14:solidFill>
              </w14:textFill>
            </w:rPr>
            <w:t>基金合同内容摘要</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_Toc173413680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pPr>
            <w:rPr>
              <w:rFonts w:hint="eastAsia"/>
              <w:b/>
              <w:bCs/>
              <w:color w:val="000000" w:themeColor="text1"/>
              <w14:textFill>
                <w14:solidFill>
                  <w14:schemeClr w14:val="tx1"/>
                </w14:solidFill>
              </w14:textFill>
            </w:rPr>
            <w:sectPr>
              <w:headerReference r:id="rId3" w:type="default"/>
              <w:pgSz w:w="11906" w:h="16838"/>
              <w:pgMar w:top="1440" w:right="1700" w:bottom="1440" w:left="1800" w:header="851" w:footer="992" w:gutter="0"/>
              <w:pgNumType w:start="1"/>
              <w:cols w:space="425" w:num="1"/>
              <w:docGrid w:type="lines" w:linePitch="312" w:charSpace="0"/>
            </w:sectPr>
          </w:pPr>
          <w:r>
            <w:rPr>
              <w:b/>
              <w:bCs/>
              <w:color w:val="000000" w:themeColor="text1"/>
              <w14:textFill>
                <w14:solidFill>
                  <w14:schemeClr w14:val="tx1"/>
                </w14:solidFill>
              </w14:textFill>
            </w:rPr>
            <w:fldChar w:fldCharType="end"/>
          </w:r>
        </w:p>
      </w:sdtContent>
    </w:sdt>
    <w:p>
      <w:pPr>
        <w:tabs>
          <w:tab w:val="left" w:pos="1505"/>
        </w:tabs>
        <w:spacing w:before="102"/>
        <w:ind w:right="235"/>
        <w:jc w:val="center"/>
        <w:outlineLvl w:val="0"/>
        <w:rPr>
          <w:rFonts w:hint="eastAsia"/>
          <w:b/>
          <w:bCs/>
          <w:color w:val="000000" w:themeColor="text1"/>
          <w:sz w:val="30"/>
          <w:szCs w:val="30"/>
          <w14:textFill>
            <w14:solidFill>
              <w14:schemeClr w14:val="tx1"/>
            </w14:solidFill>
          </w14:textFill>
        </w:rPr>
      </w:pPr>
      <w:bookmarkStart w:id="2" w:name="_Toc173413657"/>
      <w:bookmarkStart w:id="3" w:name="_Hlk89265371"/>
      <w:bookmarkStart w:id="4" w:name="_Hlk89265162"/>
      <w:r>
        <w:rPr>
          <w:b/>
          <w:bCs/>
          <w:color w:val="000000" w:themeColor="text1"/>
          <w:sz w:val="30"/>
          <w:szCs w:val="30"/>
          <w14:textFill>
            <w14:solidFill>
              <w14:schemeClr w14:val="tx1"/>
            </w14:solidFill>
          </w14:textFill>
        </w:rPr>
        <w:t>第一部分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前言</w:t>
      </w:r>
      <w:bookmarkEnd w:id="2"/>
    </w:p>
    <w:bookmarkEnd w:id="3"/>
    <w:p>
      <w:pPr>
        <w:spacing w:before="1"/>
        <w:rPr>
          <w:rFonts w:hint="eastAsia"/>
          <w:b/>
          <w:color w:val="000000" w:themeColor="text1"/>
          <w:sz w:val="40"/>
          <w:szCs w:val="24"/>
          <w14:textFill>
            <w14:solidFill>
              <w14:schemeClr w14:val="tx1"/>
            </w14:solidFill>
          </w14:textFill>
        </w:rPr>
      </w:pP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一、订立本基金合同的目的、依据和原则</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1、订立本基金合同的目的是保护投资人合法权益，明确基金合同当事人的权利义务，规范基金运作。</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2、订立本基金合同的依据是《中华人民共和国民法典》、《中华人民共和国证券投资基金法》(以下简称</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w:t>
      </w:r>
      <w:r>
        <w:rPr>
          <w:rFonts w:ascii="Times New Roman" w:hAnsi="Times New Roman" w:cs="Times New Roman"/>
          <w:bCs/>
          <w:color w:val="000000" w:themeColor="text1"/>
          <w:kern w:val="2"/>
          <w:sz w:val="24"/>
          <w:szCs w:val="20"/>
          <w:lang w:val="en-US" w:bidi="ar-SA"/>
          <w14:textFill>
            <w14:solidFill>
              <w14:schemeClr w14:val="tx1"/>
            </w14:solidFill>
          </w14:textFill>
        </w:rPr>
        <w:t>《基金法》</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w:t>
      </w:r>
      <w:r>
        <w:rPr>
          <w:rFonts w:ascii="Times New Roman" w:hAnsi="Times New Roman" w:cs="Times New Roman"/>
          <w:bCs/>
          <w:color w:val="000000" w:themeColor="text1"/>
          <w:kern w:val="2"/>
          <w:sz w:val="24"/>
          <w:szCs w:val="20"/>
          <w:lang w:val="en-US" w:bidi="ar-SA"/>
          <w14:textFill>
            <w14:solidFill>
              <w14:schemeClr w14:val="tx1"/>
            </w14:solidFill>
          </w14:textFill>
        </w:rPr>
        <w:t>)、《公开募集证券投资基金运作管理办法》、</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w:t>
      </w:r>
      <w:r>
        <w:rPr>
          <w:rFonts w:ascii="Times New Roman" w:hAnsi="Times New Roman" w:cs="Times New Roman"/>
          <w:bCs/>
          <w:color w:val="000000" w:themeColor="text1"/>
          <w:kern w:val="2"/>
          <w:sz w:val="24"/>
          <w:szCs w:val="20"/>
          <w:lang w:val="en-US" w:bidi="ar-SA"/>
          <w14:textFill>
            <w14:solidFill>
              <w14:schemeClr w14:val="tx1"/>
            </w14:solidFill>
          </w14:textFill>
        </w:rPr>
        <w:t>和其他有关法律法规。</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3、订立本基金合同的原则是平等自愿、诚实信用、充分保护投资人合法权益。</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三、本基金由基金管理人依照《基金法》、基金合同及其他有关规定募集，并经中国证券监督管理委员会（</w:t>
      </w:r>
      <w:r>
        <w:rPr>
          <w:rFonts w:ascii="Times New Roman" w:hAnsi="Times New Roman" w:cs="Times New Roman"/>
          <w:bCs/>
          <w:color w:val="000000" w:themeColor="text1"/>
          <w:kern w:val="2"/>
          <w:sz w:val="24"/>
          <w:szCs w:val="20"/>
          <w:lang w:val="en-US" w:bidi="ar-SA"/>
          <w14:textFill>
            <w14:solidFill>
              <w14:schemeClr w14:val="tx1"/>
            </w14:solidFill>
          </w14:textFill>
        </w:rPr>
        <w:t>以下简称</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w:t>
      </w:r>
      <w:r>
        <w:rPr>
          <w:rFonts w:ascii="Times New Roman" w:hAnsi="Times New Roman" w:cs="Times New Roman"/>
          <w:bCs/>
          <w:color w:val="000000" w:themeColor="text1"/>
          <w:kern w:val="2"/>
          <w:sz w:val="24"/>
          <w:szCs w:val="20"/>
          <w:lang w:val="en-US" w:bidi="ar-SA"/>
          <w14:textFill>
            <w14:solidFill>
              <w14:schemeClr w14:val="tx1"/>
            </w14:solidFill>
          </w14:textFill>
        </w:rPr>
        <w:t>中国证监会</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w:t>
      </w:r>
      <w:r>
        <w:rPr>
          <w:rFonts w:ascii="Times New Roman" w:hAnsi="Times New Roman" w:cs="Times New Roman"/>
          <w:bCs/>
          <w:color w:val="000000" w:themeColor="text1"/>
          <w:kern w:val="2"/>
          <w:sz w:val="24"/>
          <w:szCs w:val="20"/>
          <w:lang w:val="en-US" w:bidi="ar-SA"/>
          <w14:textFill>
            <w14:solidFill>
              <w14:schemeClr w14:val="tx1"/>
            </w14:solidFill>
          </w14:textFill>
        </w:rPr>
        <w:t>注册。</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中国证监会对本基金募集的注册，并不表明其对本基金的投资价值和市场前景做出实质性判断或保证，也不表明投资于本基金没有风险。</w:t>
      </w:r>
    </w:p>
    <w:p>
      <w:pPr>
        <w:spacing w:line="360" w:lineRule="auto"/>
        <w:ind w:firstLine="480" w:firstLineChars="200"/>
        <w:rPr>
          <w:rFonts w:hint="eastAsia"/>
          <w:color w:val="000000" w:themeColor="text1"/>
          <w:sz w:val="24"/>
          <w14:textFill>
            <w14:solidFill>
              <w14:schemeClr w14:val="tx1"/>
            </w14:solidFill>
          </w14:textFill>
        </w:rPr>
      </w:pPr>
      <w:r>
        <w:rPr>
          <w:bCs/>
          <w:color w:val="000000" w:themeColor="text1"/>
          <w:sz w:val="24"/>
          <w14:textFill>
            <w14:solidFill>
              <w14:schemeClr w14:val="tx1"/>
            </w14:solidFill>
          </w14:textFill>
        </w:rPr>
        <w:t>基金管理人依照恪尽职守、诚实信用、谨慎勤勉的原则管理和运用基金财产，</w:t>
      </w:r>
      <w:r>
        <w:rPr>
          <w:rFonts w:hint="eastAsia"/>
          <w:color w:val="000000" w:themeColor="text1"/>
          <w:sz w:val="24"/>
          <w14:textFill>
            <w14:solidFill>
              <w14:schemeClr w14:val="tx1"/>
            </w14:solidFill>
          </w14:textFill>
        </w:rPr>
        <w:t>但不保证投资于本基金一定盈利，也不保证最低收益。</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投资者应当认真阅读基金招募说明书、基金合同、基金产品资料概要等信息披露文件，自主判断基金的投资价值，自主做出投资决策，自行承担投资风险。</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四、基金管理人、基金托管人在本基金合同之外披露涉及本基金的信息，其内容涉及界定基金合同当事人之间权利义务关系的，如与基金合同有冲突，以基金合同为准。</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五、本基金按照中国法律法规成立并运作，若基金合同的内容与届时有效的法律法规的强制性规定不一致，应当以届时有效的法律法规的规定为准。</w:t>
      </w:r>
    </w:p>
    <w:p>
      <w:pPr>
        <w:autoSpaceDE/>
        <w:autoSpaceDN/>
        <w:spacing w:line="360" w:lineRule="auto"/>
        <w:ind w:firstLine="480" w:firstLineChars="200"/>
        <w:jc w:val="both"/>
        <w:rPr>
          <w:rFonts w:ascii="Times New Roman" w:hAnsi="Times New Roman" w:cs="Times New Roman"/>
          <w:color w:val="000000" w:themeColor="text1"/>
          <w:kern w:val="2"/>
          <w:sz w:val="24"/>
          <w:szCs w:val="20"/>
          <w:lang w:val="en-US" w:bidi="ar-SA"/>
          <w14:textFill>
            <w14:solidFill>
              <w14:schemeClr w14:val="tx1"/>
            </w14:solidFill>
          </w14:textFill>
        </w:rPr>
      </w:pPr>
      <w:r>
        <w:rPr>
          <w:rFonts w:hint="eastAsia" w:ascii="Times New Roman" w:hAnsi="Times New Roman" w:cs="Times New Roman"/>
          <w:color w:val="000000" w:themeColor="text1"/>
          <w:kern w:val="2"/>
          <w:sz w:val="24"/>
          <w:szCs w:val="20"/>
          <w:lang w:val="en-US" w:bidi="ar-SA"/>
          <w14:textFill>
            <w14:solidFill>
              <w14:schemeClr w14:val="tx1"/>
            </w14:solidFill>
          </w14:textFill>
        </w:rPr>
        <w:t>六、本基金投资相关股票市场交易互联互通机制试点允许买卖的规定范围内的香港联合交易所上市的股票（以下简称“港股通标的股票”）的，会面临港股通机制下因投资环境、投资标的、市场制度以及交易规则等差异带来的特有风险，包括港股市场股价波动较大的风险（港股市场实行</w:t>
      </w:r>
      <w:r>
        <w:rPr>
          <w:rFonts w:ascii="Times New Roman" w:hAnsi="Times New Roman" w:cs="Times New Roman"/>
          <w:color w:val="000000" w:themeColor="text1"/>
          <w:kern w:val="2"/>
          <w:sz w:val="24"/>
          <w:szCs w:val="20"/>
          <w:lang w:val="en-US" w:bidi="ar-SA"/>
          <w14:textFill>
            <w14:solidFill>
              <w14:schemeClr w14:val="tx1"/>
            </w14:solidFill>
          </w14:textFill>
        </w:rPr>
        <w:t>T+0</w:t>
      </w:r>
      <w:r>
        <w:rPr>
          <w:rFonts w:hint="eastAsia" w:ascii="Times New Roman" w:hAnsi="Times New Roman" w:cs="Times New Roman"/>
          <w:color w:val="000000" w:themeColor="text1"/>
          <w:kern w:val="2"/>
          <w:sz w:val="24"/>
          <w:szCs w:val="20"/>
          <w:lang w:val="en-US" w:bidi="ar-SA"/>
          <w14:textFill>
            <w14:solidFill>
              <w14:schemeClr w14:val="tx1"/>
            </w14:solidFill>
          </w14:textFill>
        </w:rPr>
        <w:t>回转交易，且对个股不设涨跌幅限制，港股可能表现出比</w:t>
      </w:r>
      <w:r>
        <w:rPr>
          <w:rFonts w:ascii="Times New Roman" w:hAnsi="Times New Roman" w:cs="Times New Roman"/>
          <w:color w:val="000000" w:themeColor="text1"/>
          <w:kern w:val="2"/>
          <w:sz w:val="24"/>
          <w:szCs w:val="20"/>
          <w:lang w:val="en-US" w:bidi="ar-SA"/>
          <w14:textFill>
            <w14:solidFill>
              <w14:schemeClr w14:val="tx1"/>
            </w14:solidFill>
          </w14:textFill>
        </w:rPr>
        <w:t>A</w:t>
      </w:r>
      <w:r>
        <w:rPr>
          <w:rFonts w:hint="eastAsia" w:ascii="Times New Roman" w:hAnsi="Times New Roman" w:cs="Times New Roman"/>
          <w:color w:val="000000" w:themeColor="text1"/>
          <w:kern w:val="2"/>
          <w:sz w:val="24"/>
          <w:szCs w:val="20"/>
          <w:lang w:val="en-US" w:bidi="ar-SA"/>
          <w14:textFill>
            <w14:solidFill>
              <w14:schemeClr w14:val="tx1"/>
            </w14:solidFill>
          </w14:textFill>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pPr>
        <w:autoSpaceDE/>
        <w:autoSpaceDN/>
        <w:spacing w:line="360" w:lineRule="auto"/>
        <w:ind w:firstLine="480" w:firstLineChars="200"/>
        <w:jc w:val="both"/>
        <w:rPr>
          <w:rFonts w:ascii="Times New Roman" w:hAnsi="Times New Roman" w:cs="Times New Roman"/>
          <w:color w:val="000000" w:themeColor="text1"/>
          <w:kern w:val="2"/>
          <w:sz w:val="24"/>
          <w:szCs w:val="20"/>
          <w:lang w:val="en-US" w:bidi="ar-SA"/>
          <w14:textFill>
            <w14:solidFill>
              <w14:schemeClr w14:val="tx1"/>
            </w14:solidFill>
          </w14:textFill>
        </w:rPr>
      </w:pPr>
      <w:r>
        <w:rPr>
          <w:rFonts w:hint="eastAsia" w:ascii="Times New Roman" w:hAnsi="Times New Roman" w:cs="Times New Roman"/>
          <w:color w:val="000000" w:themeColor="text1"/>
          <w:kern w:val="2"/>
          <w:sz w:val="24"/>
          <w:szCs w:val="20"/>
          <w:lang w:val="en-US" w:bidi="ar-SA"/>
          <w14:textFill>
            <w14:solidFill>
              <w14:schemeClr w14:val="tx1"/>
            </w14:solidFill>
          </w14:textFill>
        </w:rPr>
        <w:t>七、本基金可根据投资策略需要或不同配置地市场环境的变化，选择将部分基金资产投资于港股或选择不将基金资产投资于港股，基金资产并非必然投资港股。</w:t>
      </w:r>
    </w:p>
    <w:p>
      <w:pPr>
        <w:spacing w:line="360" w:lineRule="auto"/>
        <w:ind w:firstLine="480"/>
        <w:rPr>
          <w:rFonts w:hint="eastAsia"/>
          <w:color w:val="000000" w:themeColor="text1"/>
          <w:sz w:val="24"/>
          <w14:textFill>
            <w14:solidFill>
              <w14:schemeClr w14:val="tx1"/>
            </w14:solidFill>
          </w14:textFill>
        </w:rPr>
      </w:pPr>
      <w:r>
        <w:rPr>
          <w:rFonts w:hint="eastAsia" w:ascii="Times New Roman" w:hAnsi="Times New Roman" w:cs="Times New Roman"/>
          <w:color w:val="000000" w:themeColor="text1"/>
          <w:kern w:val="2"/>
          <w:sz w:val="24"/>
          <w:szCs w:val="20"/>
          <w:lang w:val="en-US" w:bidi="ar-SA"/>
          <w14:textFill>
            <w14:solidFill>
              <w14:schemeClr w14:val="tx1"/>
            </w14:solidFill>
          </w14:textFill>
        </w:rPr>
        <w:t>八、</w:t>
      </w:r>
      <w:r>
        <w:rPr>
          <w:rFonts w:hint="eastAsia"/>
          <w:color w:val="000000" w:themeColor="text1"/>
          <w:sz w:val="24"/>
          <w14:textFill>
            <w14:solidFill>
              <w14:schemeClr w14:val="tx1"/>
            </w14:solidFill>
          </w14:textFill>
        </w:rPr>
        <w:t>本基金单一投资者持有基金份额数不得达到或超过基金份额总数的50%，但在基金运作过程中因基金份额赎回等情形导致被动达到或超过50%的除外。法律法规或监管机构另有规定的，从其规定。</w:t>
      </w:r>
    </w:p>
    <w:p>
      <w:pPr>
        <w:spacing w:line="360" w:lineRule="auto"/>
        <w:ind w:firstLine="48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九、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bookmarkEnd w:id="4"/>
    <w:p>
      <w:pPr>
        <w:spacing w:before="102"/>
        <w:ind w:left="1181" w:right="1416"/>
        <w:jc w:val="center"/>
        <w:outlineLvl w:val="0"/>
        <w:rPr>
          <w:rFonts w:hint="eastAsia"/>
          <w:b/>
          <w:bCs/>
          <w:color w:val="000000" w:themeColor="text1"/>
          <w:sz w:val="30"/>
          <w:szCs w:val="30"/>
          <w14:textFill>
            <w14:solidFill>
              <w14:schemeClr w14:val="tx1"/>
            </w14:solidFill>
          </w14:textFill>
        </w:rPr>
      </w:pPr>
      <w:bookmarkStart w:id="5" w:name="_Toc173413658"/>
      <w:r>
        <w:rPr>
          <w:b/>
          <w:bCs/>
          <w:color w:val="000000" w:themeColor="text1"/>
          <w:sz w:val="30"/>
          <w:szCs w:val="30"/>
          <w14:textFill>
            <w14:solidFill>
              <w14:schemeClr w14:val="tx1"/>
            </w14:solidFill>
          </w14:textFill>
        </w:rPr>
        <w:t>第二部分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释义</w:t>
      </w:r>
      <w:bookmarkEnd w:id="5"/>
    </w:p>
    <w:p>
      <w:pPr>
        <w:rPr>
          <w:rFonts w:hint="eastAsia"/>
          <w:b/>
          <w:color w:val="000000" w:themeColor="text1"/>
          <w:sz w:val="30"/>
          <w:szCs w:val="24"/>
          <w14:textFill>
            <w14:solidFill>
              <w14:schemeClr w14:val="tx1"/>
            </w14:solidFill>
          </w14:textFill>
        </w:rPr>
      </w:pP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除非文意另有所指，本基金合同中下列词语或简称具有如下含义：</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1、基金/本基金：指</w:t>
      </w:r>
      <w:r>
        <w:rPr>
          <w:rFonts w:hint="eastAsia"/>
          <w:color w:val="000000" w:themeColor="text1"/>
          <w:sz w:val="24"/>
          <w:szCs w:val="24"/>
          <w14:textFill>
            <w14:solidFill>
              <w14:schemeClr w14:val="tx1"/>
            </w14:solidFill>
          </w14:textFill>
        </w:rPr>
        <w:t>中海铭嘉债券型证券投资基金</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2、基金管理人：指中海基金管理有限公司</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3、基金托管人：指</w:t>
      </w:r>
      <w:r>
        <w:rPr>
          <w:rFonts w:hint="eastAsia"/>
          <w:color w:val="000000" w:themeColor="text1"/>
          <w:sz w:val="24"/>
          <w:szCs w:val="24"/>
          <w14:textFill>
            <w14:solidFill>
              <w14:schemeClr w14:val="tx1"/>
            </w14:solidFill>
          </w14:textFill>
        </w:rPr>
        <w:t>国金证券股份有限公司</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4、基金合同/本基金合同：指《</w:t>
      </w:r>
      <w:r>
        <w:rPr>
          <w:rFonts w:hint="eastAsia"/>
          <w:color w:val="000000" w:themeColor="text1"/>
          <w:sz w:val="24"/>
          <w:szCs w:val="24"/>
          <w14:textFill>
            <w14:solidFill>
              <w14:schemeClr w14:val="tx1"/>
            </w14:solidFill>
          </w14:textFill>
        </w:rPr>
        <w:t>中海铭嘉债券型证券投资基金</w:t>
      </w:r>
      <w:r>
        <w:rPr>
          <w:color w:val="000000" w:themeColor="text1"/>
          <w:sz w:val="24"/>
          <w:szCs w:val="24"/>
          <w14:textFill>
            <w14:solidFill>
              <w14:schemeClr w14:val="tx1"/>
            </w14:solidFill>
          </w14:textFill>
        </w:rPr>
        <w:t>基金合同》及对本基金合同的任何有效修订和补充</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5、托管协议：指基金管理人与基金托管人就本基金签订之《</w:t>
      </w:r>
      <w:r>
        <w:rPr>
          <w:rFonts w:hint="eastAsia"/>
          <w:color w:val="000000" w:themeColor="text1"/>
          <w:sz w:val="24"/>
          <w:szCs w:val="24"/>
          <w14:textFill>
            <w14:solidFill>
              <w14:schemeClr w14:val="tx1"/>
            </w14:solidFill>
          </w14:textFill>
        </w:rPr>
        <w:t>中海铭嘉债券型证券投资基金</w:t>
      </w:r>
      <w:r>
        <w:rPr>
          <w:color w:val="000000" w:themeColor="text1"/>
          <w:sz w:val="24"/>
          <w:szCs w:val="24"/>
          <w14:textFill>
            <w14:solidFill>
              <w14:schemeClr w14:val="tx1"/>
            </w14:solidFill>
          </w14:textFill>
        </w:rPr>
        <w:t>托管协议》及对该托管协议的任何有效修订和补充</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6、招募说明书：指《</w:t>
      </w:r>
      <w:r>
        <w:rPr>
          <w:rFonts w:hint="eastAsia"/>
          <w:color w:val="000000" w:themeColor="text1"/>
          <w:sz w:val="24"/>
          <w:szCs w:val="24"/>
          <w14:textFill>
            <w14:solidFill>
              <w14:schemeClr w14:val="tx1"/>
            </w14:solidFill>
          </w14:textFill>
        </w:rPr>
        <w:t>中海铭嘉债券型证券投资基金</w:t>
      </w:r>
      <w:r>
        <w:rPr>
          <w:color w:val="000000" w:themeColor="text1"/>
          <w:sz w:val="24"/>
          <w:szCs w:val="24"/>
          <w14:textFill>
            <w14:solidFill>
              <w14:schemeClr w14:val="tx1"/>
            </w14:solidFill>
          </w14:textFill>
        </w:rPr>
        <w:t>招募说明书》及其更新</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7、基金产品资料概要：指《</w:t>
      </w:r>
      <w:r>
        <w:rPr>
          <w:rFonts w:hint="eastAsia"/>
          <w:color w:val="000000" w:themeColor="text1"/>
          <w:sz w:val="24"/>
          <w:szCs w:val="24"/>
          <w14:textFill>
            <w14:solidFill>
              <w14:schemeClr w14:val="tx1"/>
            </w14:solidFill>
          </w14:textFill>
        </w:rPr>
        <w:t>中海铭嘉债券型证券投资基金</w:t>
      </w:r>
      <w:r>
        <w:rPr>
          <w:color w:val="000000" w:themeColor="text1"/>
          <w:sz w:val="24"/>
          <w:szCs w:val="24"/>
          <w14:textFill>
            <w14:solidFill>
              <w14:schemeClr w14:val="tx1"/>
            </w14:solidFill>
          </w14:textFill>
        </w:rPr>
        <w:t>基金产品资料概要》及其更新</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8、基金份额发售公告：指《</w:t>
      </w:r>
      <w:r>
        <w:rPr>
          <w:rFonts w:hint="eastAsia"/>
          <w:color w:val="000000" w:themeColor="text1"/>
          <w:sz w:val="24"/>
          <w:szCs w:val="24"/>
          <w14:textFill>
            <w14:solidFill>
              <w14:schemeClr w14:val="tx1"/>
            </w14:solidFill>
          </w14:textFill>
        </w:rPr>
        <w:t>中海铭嘉债券型证券投资基金</w:t>
      </w:r>
      <w:r>
        <w:rPr>
          <w:color w:val="000000" w:themeColor="text1"/>
          <w:sz w:val="24"/>
          <w:szCs w:val="24"/>
          <w14:textFill>
            <w14:solidFill>
              <w14:schemeClr w14:val="tx1"/>
            </w14:solidFill>
          </w14:textFill>
        </w:rPr>
        <w:t>基金份额发售公告》</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9、法律法规：指中国现行有效并公布实施的法律、行政法规、司法解释、行政规章、规范性文件以及其他对基金合同当事人有约束力的决定、决议、通知等</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11、《销售办法》：指中国证监会2020年8月28日颁布、同年10月1日实施的《公开募集证券投资基金销售机构监督管理办法》及颁布机关对其不时做出的修订</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12、《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13、《运作办法》：指中国证监会2014年7月7日颁布、同年8月8日实施的《公开募集证券投资基金运作管理办法》及颁布机关对其不时做出的修订</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14、《流动性风险管理规定》：指中国证监会2017年8月31日颁布、同年10月1日实施的《公开募集开放式证券投资基金流动性风险管理规定》及颁布机关对其不时做出的修订</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15、港股通：指内地投资者经由内地证券交易所设立的证券交易服务公司，向香港联合交易所进行申报，买卖规定范围内的香港联合交易所上市的股票的交易机制，或有权机构对该交易机制的修改或调整</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16、中国证监会：指中国证券监督管理委员会</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7</w:t>
      </w:r>
      <w:r>
        <w:rPr>
          <w:color w:val="000000" w:themeColor="text1"/>
          <w:sz w:val="24"/>
          <w:szCs w:val="24"/>
          <w14:textFill>
            <w14:solidFill>
              <w14:schemeClr w14:val="tx1"/>
            </w14:solidFill>
          </w14:textFill>
        </w:rPr>
        <w:t>、基金合同当事人：指受基金合同约束，根据基金合同享有权利并承担义务的法律主体，包括基金管理人、基金托管人和基金份额持有人</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8</w:t>
      </w:r>
      <w:r>
        <w:rPr>
          <w:color w:val="000000" w:themeColor="text1"/>
          <w:sz w:val="24"/>
          <w:szCs w:val="24"/>
          <w14:textFill>
            <w14:solidFill>
              <w14:schemeClr w14:val="tx1"/>
            </w14:solidFill>
          </w14:textFill>
        </w:rPr>
        <w:t>、个人投资者：指依据有关法律法规规定可投资于证券投资基金的自然人</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19</w:t>
      </w:r>
      <w:r>
        <w:rPr>
          <w:color w:val="000000" w:themeColor="text1"/>
          <w:sz w:val="24"/>
          <w:szCs w:val="24"/>
          <w14:textFill>
            <w14:solidFill>
              <w14:schemeClr w14:val="tx1"/>
            </w14:solidFill>
          </w14:textFill>
        </w:rPr>
        <w:t>、机构投资者：</w:t>
      </w:r>
      <w:r>
        <w:rPr>
          <w:rFonts w:hint="eastAsia"/>
          <w:color w:val="000000" w:themeColor="text1"/>
          <w:sz w:val="24"/>
          <w:szCs w:val="24"/>
          <w14:textFill>
            <w14:solidFill>
              <w14:schemeClr w14:val="tx1"/>
            </w14:solidFill>
          </w14:textFill>
        </w:rPr>
        <w:t>指依法可以投资证券投资基金的、在中华人民共和国境内合法登记并存续或经有关政府部门批准设立并存续的企业法人、事业法人、社会团体或其他组织</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0</w:t>
      </w:r>
      <w:r>
        <w:rPr>
          <w:color w:val="000000" w:themeColor="text1"/>
          <w:sz w:val="24"/>
          <w:szCs w:val="24"/>
          <w14:textFill>
            <w14:solidFill>
              <w14:schemeClr w14:val="tx1"/>
            </w14:solidFill>
          </w14:textFill>
        </w:rPr>
        <w:t>、合格境外投资者：</w:t>
      </w:r>
      <w:r>
        <w:rPr>
          <w:rFonts w:hint="eastAsia"/>
          <w:color w:val="000000" w:themeColor="text1"/>
          <w:sz w:val="24"/>
          <w:szCs w:val="24"/>
          <w14:textFill>
            <w14:solidFill>
              <w14:schemeClr w14:val="tx1"/>
            </w14:solidFill>
          </w14:textFill>
        </w:rPr>
        <w:t>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、投资人、投资者：</w:t>
      </w:r>
      <w:r>
        <w:rPr>
          <w:rFonts w:hint="eastAsia"/>
          <w:color w:val="000000" w:themeColor="text1"/>
          <w:sz w:val="24"/>
          <w:szCs w:val="24"/>
          <w14:textFill>
            <w14:solidFill>
              <w14:schemeClr w14:val="tx1"/>
            </w14:solidFill>
          </w14:textFill>
        </w:rPr>
        <w:t>指个人投资者、机构投资者、合格境外投资者以及法律法规或中国证监会允许购买证券投资基金的其他投资人的合称</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、基金份额持有人：指依基金合同和招募说明书合法取得基金份额的投资人</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、销售机构：</w:t>
      </w:r>
      <w:r>
        <w:rPr>
          <w:rFonts w:hint="eastAsia"/>
          <w:bCs/>
          <w:color w:val="000000" w:themeColor="text1"/>
          <w:sz w:val="24"/>
          <w:szCs w:val="24"/>
          <w:lang w:val="en-US"/>
          <w14:textFill>
            <w14:solidFill>
              <w14:schemeClr w14:val="tx1"/>
            </w14:solidFill>
          </w14:textFill>
        </w:rPr>
        <w:t>包括直销机构和代销机构。直销机构指中海基金管理有限公司，即</w:t>
      </w:r>
      <w:r>
        <w:rPr>
          <w:color w:val="000000" w:themeColor="text1"/>
          <w:sz w:val="24"/>
          <w:szCs w:val="24"/>
          <w14:textFill>
            <w14:solidFill>
              <w14:schemeClr w14:val="tx1"/>
            </w14:solidFill>
          </w14:textFill>
        </w:rPr>
        <w:t>基金管理人</w:t>
      </w:r>
      <w:r>
        <w:rPr>
          <w:rFonts w:hint="eastAsia"/>
          <w:color w:val="000000" w:themeColor="text1"/>
          <w:sz w:val="24"/>
          <w:szCs w:val="24"/>
          <w14:textFill>
            <w14:solidFill>
              <w14:schemeClr w14:val="tx1"/>
            </w14:solidFill>
          </w14:textFill>
        </w:rPr>
        <w:t>，含基金管理人旗下的</w:t>
      </w:r>
      <w:r>
        <w:rPr>
          <w:rFonts w:hint="eastAsia"/>
          <w:bCs/>
          <w:color w:val="000000" w:themeColor="text1"/>
          <w:sz w:val="24"/>
          <w:szCs w:val="24"/>
          <w:lang w:val="en-US"/>
          <w14:textFill>
            <w14:solidFill>
              <w14:schemeClr w14:val="tx1"/>
            </w14:solidFill>
          </w14:textFill>
        </w:rPr>
        <w:t>网上交易平台及直销柜台</w:t>
      </w:r>
      <w:r>
        <w:rPr>
          <w:rFonts w:hint="eastAsia"/>
          <w:color w:val="000000" w:themeColor="text1"/>
          <w:sz w:val="24"/>
          <w:szCs w:val="24"/>
          <w14:textFill>
            <w14:solidFill>
              <w14:schemeClr w14:val="tx1"/>
            </w14:solidFill>
          </w14:textFill>
        </w:rPr>
        <w:t>；代销机构指</w:t>
      </w:r>
      <w:r>
        <w:rPr>
          <w:color w:val="000000" w:themeColor="text1"/>
          <w:sz w:val="24"/>
          <w:szCs w:val="24"/>
          <w14:textFill>
            <w14:solidFill>
              <w14:schemeClr w14:val="tx1"/>
            </w14:solidFill>
          </w14:textFill>
        </w:rPr>
        <w:t>符合《销售办法》和中国证监会规定的其他条件，取得公开募集证券投资基金销售业务资格并与基金管理人签订了基金销售服务协议，办理基金销售业务的机构</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t>、登记机构：指办理登记业务的机构。本基金的登记机构为基金管理人或接受基金管理人委托代为办理登记业务的机构</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、基金销售业务：指基金管理人或销售机构</w:t>
      </w:r>
      <w:r>
        <w:rPr>
          <w:rFonts w:hint="eastAsia"/>
          <w:color w:val="000000" w:themeColor="text1"/>
          <w:sz w:val="24"/>
          <w:szCs w:val="24"/>
          <w14:textFill>
            <w14:solidFill>
              <w14:schemeClr w14:val="tx1"/>
            </w14:solidFill>
          </w14:textFill>
        </w:rPr>
        <w:t>为投资人开立基金交易账户，</w:t>
      </w:r>
      <w:r>
        <w:rPr>
          <w:color w:val="000000" w:themeColor="text1"/>
          <w:sz w:val="24"/>
          <w:szCs w:val="24"/>
          <w14:textFill>
            <w14:solidFill>
              <w14:schemeClr w14:val="tx1"/>
            </w14:solidFill>
          </w14:textFill>
        </w:rPr>
        <w:t>宣传推介基金，办理基金份额的发售、申购、赎回、转换、转托管</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定期定额投资</w:t>
      </w:r>
      <w:r>
        <w:rPr>
          <w:rFonts w:hint="eastAsia"/>
          <w:color w:val="000000" w:themeColor="text1"/>
          <w:sz w:val="24"/>
          <w:szCs w:val="24"/>
          <w14:textFill>
            <w14:solidFill>
              <w14:schemeClr w14:val="tx1"/>
            </w14:solidFill>
          </w14:textFill>
        </w:rPr>
        <w:t>及提供基金交易账户信息查询</w:t>
      </w:r>
      <w:r>
        <w:rPr>
          <w:color w:val="000000" w:themeColor="text1"/>
          <w:sz w:val="24"/>
          <w:szCs w:val="24"/>
          <w14:textFill>
            <w14:solidFill>
              <w14:schemeClr w14:val="tx1"/>
            </w14:solidFill>
          </w14:textFill>
        </w:rPr>
        <w:t>等业务</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6</w:t>
      </w:r>
      <w:r>
        <w:rPr>
          <w:color w:val="000000" w:themeColor="text1"/>
          <w:sz w:val="24"/>
          <w:szCs w:val="24"/>
          <w14:textFill>
            <w14:solidFill>
              <w14:schemeClr w14:val="tx1"/>
            </w14:solidFill>
          </w14:textFill>
        </w:rPr>
        <w:t>、登记业务：</w:t>
      </w:r>
      <w:r>
        <w:rPr>
          <w:rFonts w:hint="eastAsia"/>
          <w:color w:val="000000" w:themeColor="text1"/>
          <w:sz w:val="24"/>
          <w:szCs w:val="24"/>
          <w14:textFill>
            <w14:solidFill>
              <w14:schemeClr w14:val="tx1"/>
            </w14:solidFill>
          </w14:textFill>
        </w:rPr>
        <w:t>指基金登记、存管、过户、清算和结算业务，具体内容包括投资人基金账户的建立和管理、基金份额登记、基金销售业务的确认、清算和结算、代理发放红利、建立并保管基金份额持有人名册和办理非交易过户等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7</w:t>
      </w:r>
      <w:r>
        <w:rPr>
          <w:color w:val="000000" w:themeColor="text1"/>
          <w:sz w:val="24"/>
          <w:szCs w:val="24"/>
          <w14:textFill>
            <w14:solidFill>
              <w14:schemeClr w14:val="tx1"/>
            </w14:solidFill>
          </w14:textFill>
        </w:rPr>
        <w:t>、基金账户：指登记机构为投资人开立的、记录其持有的、基金管理人所管理的基金份额余额及其变动情况的账户</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8</w:t>
      </w:r>
      <w:r>
        <w:rPr>
          <w:color w:val="000000" w:themeColor="text1"/>
          <w:sz w:val="24"/>
          <w:szCs w:val="24"/>
          <w14:textFill>
            <w14:solidFill>
              <w14:schemeClr w14:val="tx1"/>
            </w14:solidFill>
          </w14:textFill>
        </w:rPr>
        <w:t>、基金交易账户：指销售机构为投资人开立的、记录投资人通过该销售机构办理认购、申购、赎回、转换、转托管及定期定额投资等业务而引起的基金份额变动及结余情况的账户</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29</w:t>
      </w:r>
      <w:r>
        <w:rPr>
          <w:color w:val="000000" w:themeColor="text1"/>
          <w:sz w:val="24"/>
          <w:szCs w:val="24"/>
          <w14:textFill>
            <w14:solidFill>
              <w14:schemeClr w14:val="tx1"/>
            </w14:solidFill>
          </w14:textFill>
        </w:rPr>
        <w:t>、基金合同生效日：指基金募集达到法律法规及基金合同规定的条件，基金管理人向中国证监会办理完毕基金备案手续，并获得中国证监会书面确认的日期</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0</w:t>
      </w:r>
      <w:r>
        <w:rPr>
          <w:color w:val="000000" w:themeColor="text1"/>
          <w:sz w:val="24"/>
          <w:szCs w:val="24"/>
          <w14:textFill>
            <w14:solidFill>
              <w14:schemeClr w14:val="tx1"/>
            </w14:solidFill>
          </w14:textFill>
        </w:rPr>
        <w:t>、基金合同终止日：指基金合同规定的基金合同终止事由出现后，基金财产清算完毕，清算结果报中国证监会备案并予以公告的日期</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、基金募集期：指自基金份额发售之日起至发售结束之日止的期间，最长不得超过</w:t>
      </w: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个月</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、存续期：指基金合同生效至终止之间的不定期期限</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、工作日：指上海证券交易所、深圳证券交易所、北京证券交易所的交易之日</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t>、交易日：在内地、香港两地均正常交易且能够满足结算安排、开通港股通交易之日。具体交易日安排，由两地证券交易所、证券交易服务公司对市场公布</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、T日：指销售机构在规定时间受理投资人申购、赎回或其他业务申请的开放日</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6</w:t>
      </w:r>
      <w:r>
        <w:rPr>
          <w:color w:val="000000" w:themeColor="text1"/>
          <w:sz w:val="24"/>
          <w:szCs w:val="24"/>
          <w14:textFill>
            <w14:solidFill>
              <w14:schemeClr w14:val="tx1"/>
            </w14:solidFill>
          </w14:textFill>
        </w:rPr>
        <w:t>、T+n日：指自T日起第n个工作日(不包含T日)</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7</w:t>
      </w:r>
      <w:r>
        <w:rPr>
          <w:color w:val="000000" w:themeColor="text1"/>
          <w:sz w:val="24"/>
          <w:szCs w:val="24"/>
          <w14:textFill>
            <w14:solidFill>
              <w14:schemeClr w14:val="tx1"/>
            </w14:solidFill>
          </w14:textFill>
        </w:rPr>
        <w:t>、开放日：指为投资人办理基金份额申购、赎回或其他业务的工作日（若该工作日为非港股通交易日，则本基金</w:t>
      </w:r>
      <w:r>
        <w:rPr>
          <w:rFonts w:hint="eastAsia"/>
          <w:color w:val="000000" w:themeColor="text1"/>
          <w:sz w:val="24"/>
          <w:szCs w:val="24"/>
          <w14:textFill>
            <w14:solidFill>
              <w14:schemeClr w14:val="tx1"/>
            </w14:solidFill>
          </w14:textFill>
        </w:rPr>
        <w:t>有权</w:t>
      </w:r>
      <w:r>
        <w:rPr>
          <w:color w:val="000000" w:themeColor="text1"/>
          <w:sz w:val="24"/>
          <w:szCs w:val="24"/>
          <w14:textFill>
            <w14:solidFill>
              <w14:schemeClr w14:val="tx1"/>
            </w14:solidFill>
          </w14:textFill>
        </w:rPr>
        <w:t>不开放基金份额申购、赎回或其他业务</w:t>
      </w:r>
      <w:r>
        <w:rPr>
          <w:rFonts w:hint="eastAsia"/>
          <w:color w:val="000000" w:themeColor="text1"/>
          <w:sz w:val="24"/>
          <w:szCs w:val="24"/>
          <w14:textFill>
            <w14:solidFill>
              <w14:schemeClr w14:val="tx1"/>
            </w14:solidFill>
          </w14:textFill>
        </w:rPr>
        <w:t>，具体以届时公告为准</w:t>
      </w:r>
      <w:r>
        <w:rPr>
          <w:color w:val="000000" w:themeColor="text1"/>
          <w:sz w:val="24"/>
          <w:szCs w:val="24"/>
          <w14:textFill>
            <w14:solidFill>
              <w14:schemeClr w14:val="tx1"/>
            </w14:solidFill>
          </w14:textFill>
        </w:rPr>
        <w:t>）</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8</w:t>
      </w:r>
      <w:r>
        <w:rPr>
          <w:color w:val="000000" w:themeColor="text1"/>
          <w:sz w:val="24"/>
          <w:szCs w:val="24"/>
          <w14:textFill>
            <w14:solidFill>
              <w14:schemeClr w14:val="tx1"/>
            </w14:solidFill>
          </w14:textFill>
        </w:rPr>
        <w:t>、开放时间：指开放日基金接受申购、赎回或其他交易的时间段</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39</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业务规则</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指《中海基金管理有限公司基金业务规则》，是规范基金管理人所管理的开放式证券投资基金登记方面的业务规则，由基金管理人和投资人共同遵守</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0</w:t>
      </w:r>
      <w:r>
        <w:rPr>
          <w:color w:val="000000" w:themeColor="text1"/>
          <w:sz w:val="24"/>
          <w:szCs w:val="24"/>
          <w14:textFill>
            <w14:solidFill>
              <w14:schemeClr w14:val="tx1"/>
            </w14:solidFill>
          </w14:textFill>
        </w:rPr>
        <w:t>、认购：指在基金募集期内，投资人根据基金合同、招募说明书及相关公告的规定申请购买基金份额的行为</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、申购：指基金合同生效后，投资人根据基金合同</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招募说明书及相关公告的规定申请购买基金份额的行为</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、赎回：指基金合同生效后，基金份额持有人按基金合同、招募说明书及相关公告规定的条件要求将基金份额兑换为现金的行为</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、基金转换：指基金份额持有人按照本基金合同和基金管理人届时有效公告规定的条件，申请将其持有基金管理人管理的某一基金的基金份额转换为基金管理人管理</w:t>
      </w:r>
      <w:r>
        <w:rPr>
          <w:rFonts w:hint="eastAsia"/>
          <w:color w:val="000000" w:themeColor="text1"/>
          <w:sz w:val="24"/>
          <w:szCs w:val="24"/>
          <w14:textFill>
            <w14:solidFill>
              <w14:schemeClr w14:val="tx1"/>
            </w14:solidFill>
          </w14:textFill>
        </w:rPr>
        <w:t>且开通转换</w:t>
      </w:r>
      <w:r>
        <w:rPr>
          <w:color w:val="000000" w:themeColor="text1"/>
          <w:sz w:val="24"/>
          <w:szCs w:val="24"/>
          <w14:textFill>
            <w14:solidFill>
              <w14:schemeClr w14:val="tx1"/>
            </w14:solidFill>
          </w14:textFill>
        </w:rPr>
        <w:t>的其他基金基金份额的行为</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t>、转托管：指基金份额持有人在本基金的不同销售机构之间实施的变更所持基金份额销售机构的操作</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45</w:t>
      </w:r>
      <w:r>
        <w:rPr>
          <w:color w:val="000000" w:themeColor="text1"/>
          <w:sz w:val="24"/>
          <w:szCs w:val="24"/>
          <w14:textFill>
            <w14:solidFill>
              <w14:schemeClr w14:val="tx1"/>
            </w14:solidFill>
          </w14:textFill>
        </w:rPr>
        <w:t>、定期定额投资计划：指投资人通过有关销售机构提出申请，约定每期申购日、扣款金额及扣款方式，由销售机构于每期约定扣款日在投资人指定银行账户内自动完成扣款及受理基金申购申请的一种投资方式</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46</w:t>
      </w:r>
      <w:r>
        <w:rPr>
          <w:color w:val="000000" w:themeColor="text1"/>
          <w:sz w:val="24"/>
          <w:szCs w:val="24"/>
          <w14:textFill>
            <w14:solidFill>
              <w14:schemeClr w14:val="tx1"/>
            </w14:solidFill>
          </w14:textFill>
        </w:rPr>
        <w:t>、巨额赎回：指本基金单个开放日，基金净赎回申请(赎回申请份额总数加上基金转换中转出申请份额总数后扣除申购申请份额总数及基金转换中转入申请份额总数后的余额)超过上一工作日基金总份额的10%</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47</w:t>
      </w:r>
      <w:r>
        <w:rPr>
          <w:color w:val="000000" w:themeColor="text1"/>
          <w:sz w:val="24"/>
          <w:szCs w:val="24"/>
          <w14:textFill>
            <w14:solidFill>
              <w14:schemeClr w14:val="tx1"/>
            </w14:solidFill>
          </w14:textFill>
        </w:rPr>
        <w:t>、A类基金份额：指在投资人认购/申购基金时收取认购/申购费用，并不再从本类别基金资产中计提销售服务费的基金份额</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r>
        <w:rPr>
          <w:rFonts w:hint="eastAsia"/>
          <w:color w:val="000000" w:themeColor="text1"/>
          <w:sz w:val="24"/>
          <w:szCs w:val="24"/>
          <w14:textFill>
            <w14:solidFill>
              <w14:schemeClr w14:val="tx1"/>
            </w14:solidFill>
          </w14:textFill>
        </w:rPr>
        <w:t>8</w:t>
      </w:r>
      <w:r>
        <w:rPr>
          <w:color w:val="000000" w:themeColor="text1"/>
          <w:sz w:val="24"/>
          <w:szCs w:val="24"/>
          <w14:textFill>
            <w14:solidFill>
              <w14:schemeClr w14:val="tx1"/>
            </w14:solidFill>
          </w14:textFill>
        </w:rPr>
        <w:t>、C类基金份额：指</w:t>
      </w:r>
      <w:r>
        <w:rPr>
          <w:rFonts w:hint="eastAsia"/>
          <w:color w:val="000000" w:themeColor="text1"/>
          <w:sz w:val="24"/>
          <w:szCs w:val="24"/>
          <w14:textFill>
            <w14:solidFill>
              <w14:schemeClr w14:val="tx1"/>
            </w14:solidFill>
          </w14:textFill>
        </w:rPr>
        <w:t>从本类别基金资产中计提销售服务费并按规定收取或返还，不收取认购/申购费用的基金份额</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49</w:t>
      </w:r>
      <w:r>
        <w:rPr>
          <w:color w:val="000000" w:themeColor="text1"/>
          <w:sz w:val="24"/>
          <w:szCs w:val="24"/>
          <w14:textFill>
            <w14:solidFill>
              <w14:schemeClr w14:val="tx1"/>
            </w14:solidFill>
          </w14:textFill>
        </w:rPr>
        <w:t>、元：指人民币元</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0</w:t>
      </w:r>
      <w:r>
        <w:rPr>
          <w:color w:val="000000" w:themeColor="text1"/>
          <w:sz w:val="24"/>
          <w:szCs w:val="24"/>
          <w14:textFill>
            <w14:solidFill>
              <w14:schemeClr w14:val="tx1"/>
            </w14:solidFill>
          </w14:textFill>
        </w:rPr>
        <w:t>、基金收益：指基金投资所得红利、股息、债券利息、买卖证券价差、银行存款利息、已实现的其他合法收入及因运用基金财产带来的成本和费用的节约</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、基金资产总值：指基金拥有的各类有价证券、银行存款本息、基金应收</w:t>
      </w:r>
      <w:r>
        <w:rPr>
          <w:rFonts w:hint="eastAsia"/>
          <w:color w:val="000000" w:themeColor="text1"/>
          <w:sz w:val="24"/>
          <w:szCs w:val="24"/>
          <w14:textFill>
            <w14:solidFill>
              <w14:schemeClr w14:val="tx1"/>
            </w14:solidFill>
          </w14:textFill>
        </w:rPr>
        <w:t>款项</w:t>
      </w:r>
      <w:r>
        <w:rPr>
          <w:color w:val="000000" w:themeColor="text1"/>
          <w:sz w:val="24"/>
          <w:szCs w:val="24"/>
          <w14:textFill>
            <w14:solidFill>
              <w14:schemeClr w14:val="tx1"/>
            </w14:solidFill>
          </w14:textFill>
        </w:rPr>
        <w:t>及其他资产的价值总和</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、基金资产净值：指基金资产总值减去基金负债后的价值</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、基金份额净值：针对本基金基金份额，指计算日基金资产净值除以计算日的基金份额总数</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t>、基金资产估值：指计算评估基金资产和负债的价值，以确定基金资产净值和基金份额净值的过程</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、规定媒介：</w:t>
      </w:r>
      <w:r>
        <w:rPr>
          <w:rFonts w:hint="eastAsia"/>
          <w:color w:val="000000" w:themeColor="text1"/>
          <w:sz w:val="24"/>
          <w:szCs w:val="24"/>
          <w14:textFill>
            <w14:solidFill>
              <w14:schemeClr w14:val="tx1"/>
            </w14:solidFill>
          </w14:textFill>
        </w:rPr>
        <w:t>指符合中国证监会规定条件的用以进行信息披露的全国性报刊及《信息披露办法》规定的互联网网站（包括基金管理人网站、基金托管人网站、中国证监会基金电子披露网站）等媒介</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56</w:t>
      </w:r>
      <w:r>
        <w:rPr>
          <w:color w:val="000000" w:themeColor="text1"/>
          <w:sz w:val="24"/>
          <w:szCs w:val="24"/>
          <w14:textFill>
            <w14:solidFill>
              <w14:schemeClr w14:val="tx1"/>
            </w14:solidFill>
          </w14:textFill>
        </w:rPr>
        <w:t>、销售服务费：指从基金财产中计提的，用于本基金市场推广、销售以及基金份额持有人服务的费用</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7</w:t>
      </w:r>
      <w:r>
        <w:rPr>
          <w:color w:val="000000" w:themeColor="text1"/>
          <w:sz w:val="24"/>
          <w:szCs w:val="24"/>
          <w14:textFill>
            <w14:solidFill>
              <w14:schemeClr w14:val="tx1"/>
            </w14:solidFill>
          </w14:textFill>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58</w:t>
      </w:r>
      <w:r>
        <w:rPr>
          <w:color w:val="000000" w:themeColor="text1"/>
          <w:sz w:val="24"/>
          <w:szCs w:val="24"/>
          <w14:textFill>
            <w14:solidFill>
              <w14:schemeClr w14:val="tx1"/>
            </w14:solidFill>
          </w14:textFill>
        </w:rPr>
        <w:t>、摆动定价机制：指当</w:t>
      </w:r>
      <w:r>
        <w:rPr>
          <w:rFonts w:hint="eastAsia"/>
          <w:color w:val="000000" w:themeColor="text1"/>
          <w:sz w:val="24"/>
          <w:szCs w:val="24"/>
          <w14:textFill>
            <w14:solidFill>
              <w14:schemeClr w14:val="tx1"/>
            </w14:solidFill>
          </w14:textFill>
        </w:rPr>
        <w:t>开放式</w:t>
      </w:r>
      <w:r>
        <w:rPr>
          <w:color w:val="000000" w:themeColor="text1"/>
          <w:sz w:val="24"/>
          <w:szCs w:val="24"/>
          <w14:textFill>
            <w14:solidFill>
              <w14:schemeClr w14:val="tx1"/>
            </w14:solidFill>
          </w14:textFill>
        </w:rPr>
        <w:t>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59</w:t>
      </w:r>
      <w:r>
        <w:rPr>
          <w:color w:val="000000" w:themeColor="text1"/>
          <w:sz w:val="24"/>
          <w:szCs w:val="24"/>
          <w14:textFill>
            <w14:solidFill>
              <w14:schemeClr w14:val="tx1"/>
            </w14:solidFill>
          </w14:textFill>
        </w:rPr>
        <w:t>、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0</w:t>
      </w:r>
      <w:r>
        <w:rPr>
          <w:color w:val="000000" w:themeColor="text1"/>
          <w:sz w:val="24"/>
          <w:szCs w:val="24"/>
          <w14:textFill>
            <w14:solidFill>
              <w14:schemeClr w14:val="tx1"/>
            </w14:solidFill>
          </w14:textFill>
        </w:rPr>
        <w:t>、特定资产：</w:t>
      </w:r>
      <w:r>
        <w:rPr>
          <w:rFonts w:hint="eastAsia"/>
          <w:color w:val="000000" w:themeColor="text1"/>
          <w:sz w:val="24"/>
          <w:szCs w:val="24"/>
          <w14:textFill>
            <w14:solidFill>
              <w14:schemeClr w14:val="tx1"/>
            </w14:solidFill>
          </w14:textFill>
        </w:rPr>
        <w:t>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61、不可抗力：指本基金合同当事人不能预见、不能避免且不能克服，且在本基金合同由基金管理人、基金托管人签署之日后发生的，使本基金合同当事人无法全部或部分履行本基金合同的任何事件，包括但不限于洪水、地震及其他自然灾害、战争、骚乱、火灾、政府征用、没收、法律法规变化、突发停电或其他突发事件、证券交易所非正常暂停或停止交易</w:t>
      </w:r>
      <w:r>
        <w:rPr>
          <w:color w:val="000000" w:themeColor="text1"/>
          <w:sz w:val="24"/>
          <w:szCs w:val="24"/>
          <w14:textFill>
            <w14:solidFill>
              <w14:schemeClr w14:val="tx1"/>
            </w14:solidFill>
          </w14:textFill>
        </w:rPr>
        <w:br w:type="page"/>
      </w:r>
    </w:p>
    <w:p>
      <w:pPr>
        <w:tabs>
          <w:tab w:val="left" w:pos="1504"/>
        </w:tabs>
        <w:spacing w:before="102"/>
        <w:ind w:right="239"/>
        <w:jc w:val="center"/>
        <w:outlineLvl w:val="0"/>
        <w:rPr>
          <w:rFonts w:hint="eastAsia"/>
          <w:b/>
          <w:bCs/>
          <w:color w:val="000000" w:themeColor="text1"/>
          <w:sz w:val="30"/>
          <w:szCs w:val="30"/>
          <w14:textFill>
            <w14:solidFill>
              <w14:schemeClr w14:val="tx1"/>
            </w14:solidFill>
          </w14:textFill>
        </w:rPr>
      </w:pPr>
      <w:bookmarkStart w:id="6" w:name="_Toc173413659"/>
      <w:bookmarkStart w:id="7" w:name="_Hlk89265751"/>
      <w:r>
        <w:rPr>
          <w:b/>
          <w:bCs/>
          <w:color w:val="000000" w:themeColor="text1"/>
          <w:sz w:val="30"/>
          <w:szCs w:val="30"/>
          <w14:textFill>
            <w14:solidFill>
              <w14:schemeClr w14:val="tx1"/>
            </w14:solidFill>
          </w14:textFill>
        </w:rPr>
        <w:t>第三部分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基金的基本情况</w:t>
      </w:r>
      <w:bookmarkEnd w:id="6"/>
    </w:p>
    <w:p>
      <w:pPr>
        <w:rPr>
          <w:rFonts w:hint="eastAsia"/>
          <w:b/>
          <w:color w:val="000000" w:themeColor="text1"/>
          <w:sz w:val="30"/>
          <w:szCs w:val="24"/>
          <w14:textFill>
            <w14:solidFill>
              <w14:schemeClr w14:val="tx1"/>
            </w14:solidFill>
          </w14:textFill>
        </w:rPr>
      </w:pP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一、基金名称</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中海铭嘉债券型证券投资基金</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二、基金的类别</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债券型证券投资基金</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三、基金的运作方式</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契约型、开放式</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四、基金的投资目标</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本基金在有效控制投资组合风险的前提下，力争为基金份额持有人获取超越业绩比较基准的投资回报。</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五、基金的最低募集份额总额</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本基金的最低募集份额总额为2亿份。</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六、基金份额初始面值和认购费用</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本基金基金份额初始面值为人民币1.00元</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本基金认购费率按招募说明书及基金产品资料概要的规定执行。</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七、基金存续期限</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不定期</w:t>
      </w: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八、基金份额的类别</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本基金根据认购/申购费用及销售服务费收取方式的不同，将基金份额分为不同的类别。</w:t>
      </w:r>
      <w:r>
        <w:rPr>
          <w:rFonts w:hint="eastAsia"/>
          <w:color w:val="000000" w:themeColor="text1"/>
          <w:sz w:val="24"/>
          <w:szCs w:val="24"/>
          <w14:textFill>
            <w14:solidFill>
              <w14:schemeClr w14:val="tx1"/>
            </w14:solidFill>
          </w14:textFill>
        </w:rPr>
        <w:t>在投资人认购/申购基金时按规定收取认购/申购费用，并不再从本类别基金资产中计提销售服务费的基金份额，称为A类基金份额；从本类基金资产中计提销售服务费并按规定收取或返还，不收取认购/申购费用的基金份额，称为C类基金份额。具体费率的设置及费率水平在招募说明书或相关公告中列示。</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本基金A类基金份额、C类基金份额分别设置代码。由于基金费用的不同，本基金A类基金份额和C类基金份额将分别计算基金份额净值。计算公式为：</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计算日某类基金份额净值＝计算日该类基金份额的基金资产净值/计算日该类基金份额余额总数</w:t>
      </w:r>
    </w:p>
    <w:p>
      <w:pPr>
        <w:spacing w:line="360" w:lineRule="auto"/>
        <w:ind w:firstLine="480" w:firstLineChars="200"/>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投资者在认购、申购基金份额时可自行选择基金份额类别。有关基金份额类别的具体设置、费率水平等由基金管理人确定，并在招募说明书</w:t>
      </w:r>
      <w:r>
        <w:rPr>
          <w:rFonts w:hint="eastAsia"/>
          <w:color w:val="000000" w:themeColor="text1"/>
          <w:sz w:val="24"/>
          <w:szCs w:val="24"/>
          <w14:textFill>
            <w14:solidFill>
              <w14:schemeClr w14:val="tx1"/>
            </w14:solidFill>
          </w14:textFill>
        </w:rPr>
        <w:t>及基金产品资料概要</w:t>
      </w:r>
      <w:r>
        <w:rPr>
          <w:color w:val="000000" w:themeColor="text1"/>
          <w:sz w:val="24"/>
          <w:szCs w:val="24"/>
          <w14:textFill>
            <w14:solidFill>
              <w14:schemeClr w14:val="tx1"/>
            </w14:solidFill>
          </w14:textFill>
        </w:rPr>
        <w:t>中公告。</w:t>
      </w:r>
    </w:p>
    <w:p>
      <w:pPr>
        <w:spacing w:line="360" w:lineRule="auto"/>
        <w:ind w:firstLine="480" w:firstLineChars="200"/>
        <w:rPr>
          <w:rFonts w:hint="eastAsia" w:cstheme="minorBidi"/>
          <w:color w:val="000000" w:themeColor="text1"/>
          <w:kern w:val="2"/>
          <w:sz w:val="24"/>
          <w:szCs w:val="24"/>
          <w:lang w:val="en-US" w:bidi="ar-SA"/>
          <w14:textFill>
            <w14:solidFill>
              <w14:schemeClr w14:val="tx1"/>
            </w14:solidFill>
          </w14:textFill>
        </w:rPr>
      </w:pPr>
      <w:r>
        <w:rPr>
          <w:color w:val="000000" w:themeColor="text1"/>
          <w:sz w:val="24"/>
          <w14:textFill>
            <w14:solidFill>
              <w14:schemeClr w14:val="tx1"/>
            </w14:solidFill>
          </w14:textFill>
        </w:rPr>
        <w:t>在不违反法律法规、基金合同以及不对基金份额持有人权益产生实质性不利影响的情况下，根据基金实际运作情况，在履行适当程序</w:t>
      </w:r>
      <w:r>
        <w:rPr>
          <w:rFonts w:hint="eastAsia"/>
          <w:color w:val="000000" w:themeColor="text1"/>
          <w:sz w:val="24"/>
          <w14:textFill>
            <w14:solidFill>
              <w14:schemeClr w14:val="tx1"/>
            </w14:solidFill>
          </w14:textFill>
        </w:rPr>
        <w:t>并与基金托管人协商一致</w:t>
      </w:r>
      <w:r>
        <w:rPr>
          <w:color w:val="000000" w:themeColor="text1"/>
          <w:sz w:val="24"/>
          <w14:textFill>
            <w14:solidFill>
              <w14:schemeClr w14:val="tx1"/>
            </w14:solidFill>
          </w14:textFill>
        </w:rPr>
        <w:t>后，基金管理人可调整基金份额类别设置、对基金份额分类办法及规则进行调整、变更收费方式或者停止现有基金份额的销售等，此项调整无需召开基金份额持有人大会，但须提前公告。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br w:type="page"/>
      </w:r>
    </w:p>
    <w:bookmarkEnd w:id="7"/>
    <w:p>
      <w:pPr>
        <w:tabs>
          <w:tab w:val="left" w:pos="1504"/>
        </w:tabs>
        <w:spacing w:before="102"/>
        <w:ind w:right="239"/>
        <w:jc w:val="center"/>
        <w:outlineLvl w:val="0"/>
        <w:rPr>
          <w:rFonts w:hint="eastAsia"/>
          <w:b/>
          <w:bCs/>
          <w:color w:val="000000" w:themeColor="text1"/>
          <w:sz w:val="30"/>
          <w:szCs w:val="30"/>
          <w14:textFill>
            <w14:solidFill>
              <w14:schemeClr w14:val="tx1"/>
            </w14:solidFill>
          </w14:textFill>
        </w:rPr>
      </w:pPr>
      <w:bookmarkStart w:id="8" w:name="_Toc173413660"/>
      <w:r>
        <w:rPr>
          <w:b/>
          <w:bCs/>
          <w:color w:val="000000" w:themeColor="text1"/>
          <w:sz w:val="30"/>
          <w:szCs w:val="30"/>
          <w14:textFill>
            <w14:solidFill>
              <w14:schemeClr w14:val="tx1"/>
            </w14:solidFill>
          </w14:textFill>
        </w:rPr>
        <w:t>第四部分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基金份额的发售</w:t>
      </w:r>
      <w:bookmarkEnd w:id="8"/>
    </w:p>
    <w:p>
      <w:pPr>
        <w:pStyle w:val="5"/>
        <w:spacing w:before="0"/>
        <w:ind w:left="0" w:firstLine="0"/>
        <w:rPr>
          <w:rFonts w:hint="eastAsia"/>
          <w:b/>
          <w:color w:val="000000" w:themeColor="text1"/>
          <w:sz w:val="30"/>
          <w14:textFill>
            <w14:solidFill>
              <w14:schemeClr w14:val="tx1"/>
            </w14:solidFill>
          </w14:textFill>
        </w:rPr>
      </w:pPr>
      <w:bookmarkStart w:id="9" w:name="_Hlk89266767"/>
    </w:p>
    <w:bookmarkEnd w:id="9"/>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一、基金份额的发售时间、发售方式、发售对象</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1、发售时间</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自基金份额发售之日起最长不得超过3</w:t>
      </w:r>
      <w:r>
        <w:rPr>
          <w:bCs/>
          <w:color w:val="000000" w:themeColor="text1"/>
          <w:sz w:val="24"/>
          <w14:textFill>
            <w14:solidFill>
              <w14:schemeClr w14:val="tx1"/>
            </w14:solidFill>
          </w14:textFill>
        </w:rPr>
        <w:t>个月，具体发售时间见基金份额发售公告。</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2、发售方式</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通过各销售机构的基金销售网点公开发售，各销售机构的具体名单</w:t>
      </w:r>
      <w:r>
        <w:rPr>
          <w:rFonts w:hint="eastAsia"/>
          <w:bCs/>
          <w:color w:val="000000" w:themeColor="text1"/>
          <w:sz w:val="24"/>
          <w14:textFill>
            <w14:solidFill>
              <w14:schemeClr w14:val="tx1"/>
            </w14:solidFill>
          </w14:textFill>
        </w:rPr>
        <w:t>见</w:t>
      </w:r>
      <w:r>
        <w:rPr>
          <w:bCs/>
          <w:color w:val="000000" w:themeColor="text1"/>
          <w:sz w:val="24"/>
          <w14:textFill>
            <w14:solidFill>
              <w14:schemeClr w14:val="tx1"/>
            </w14:solidFill>
          </w14:textFill>
        </w:rPr>
        <w:t>基金份额发售公告</w:t>
      </w:r>
      <w:r>
        <w:rPr>
          <w:rFonts w:hint="eastAsia"/>
          <w:bCs/>
          <w:color w:val="000000" w:themeColor="text1"/>
          <w:sz w:val="24"/>
          <w14:textFill>
            <w14:solidFill>
              <w14:schemeClr w14:val="tx1"/>
            </w14:solidFill>
          </w14:textFill>
        </w:rPr>
        <w:t>或基金管理人网站，</w:t>
      </w:r>
      <w:r>
        <w:rPr>
          <w:bCs/>
          <w:color w:val="000000" w:themeColor="text1"/>
          <w:sz w:val="24"/>
          <w14:textFill>
            <w14:solidFill>
              <w14:schemeClr w14:val="tx1"/>
            </w14:solidFill>
          </w14:textFill>
        </w:rPr>
        <w:t>基金管理人可不时变更或增减销售机构，并在基金管理人网站公示。</w:t>
      </w:r>
    </w:p>
    <w:p>
      <w:pPr>
        <w:spacing w:line="360" w:lineRule="auto"/>
        <w:ind w:firstLine="480" w:firstLineChars="200"/>
        <w:rPr>
          <w:rFonts w:hint="eastAsia"/>
          <w:bCs/>
          <w:color w:val="000000" w:themeColor="text1"/>
          <w:sz w:val="24"/>
          <w14:textFill>
            <w14:solidFill>
              <w14:schemeClr w14:val="tx1"/>
            </w14:solidFill>
          </w14:textFill>
        </w:rPr>
      </w:pPr>
      <w:bookmarkStart w:id="10" w:name="_Hlk202371399"/>
      <w:r>
        <w:rPr>
          <w:bCs/>
          <w:color w:val="000000" w:themeColor="text1"/>
          <w:sz w:val="24"/>
          <w14:textFill>
            <w14:solidFill>
              <w14:schemeClr w14:val="tx1"/>
            </w14:solidFill>
          </w14:textFill>
        </w:rPr>
        <w:t>3、发售对象</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符合法律法规规定的可投资于证券投资基金的</w:t>
      </w:r>
      <w:r>
        <w:rPr>
          <w:rFonts w:hint="eastAsia"/>
          <w:bCs/>
          <w:color w:val="000000" w:themeColor="text1"/>
          <w:sz w:val="24"/>
          <w14:textFill>
            <w14:solidFill>
              <w14:schemeClr w14:val="tx1"/>
            </w14:solidFill>
          </w14:textFill>
        </w:rPr>
        <w:t>个人投资者、机构投资者、合格境外投资者以及法律法规或中国证监会允许购买证券投资基金的其他投资人</w:t>
      </w:r>
      <w:r>
        <w:rPr>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具体发售对象以招募说明书、基金份额发售公告或相关公告为准。</w:t>
      </w:r>
    </w:p>
    <w:bookmarkEnd w:id="10"/>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二、基金份额的认购</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1、认购费用</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本基金的A类基金份额认购费率由基金管理人决定，并在招募说明书</w:t>
      </w:r>
      <w:r>
        <w:rPr>
          <w:rFonts w:hint="eastAsia"/>
          <w:bCs/>
          <w:color w:val="000000" w:themeColor="text1"/>
          <w:sz w:val="24"/>
          <w14:textFill>
            <w14:solidFill>
              <w14:schemeClr w14:val="tx1"/>
            </w14:solidFill>
          </w14:textFill>
        </w:rPr>
        <w:t>及基金产品资料概要</w:t>
      </w:r>
      <w:r>
        <w:rPr>
          <w:bCs/>
          <w:color w:val="000000" w:themeColor="text1"/>
          <w:sz w:val="24"/>
          <w14:textFill>
            <w14:solidFill>
              <w14:schemeClr w14:val="tx1"/>
            </w14:solidFill>
          </w14:textFill>
        </w:rPr>
        <w:t>中列示</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认购费用不列入基金财产。本基金的C类基金份额不收取认购费用。</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2、募集期利息的处理方式</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有效认购款项在募集期间产生的利息将折算为</w:t>
      </w:r>
      <w:r>
        <w:rPr>
          <w:rFonts w:hint="eastAsia"/>
          <w:bCs/>
          <w:color w:val="000000" w:themeColor="text1"/>
          <w:sz w:val="24"/>
          <w14:textFill>
            <w14:solidFill>
              <w14:schemeClr w14:val="tx1"/>
            </w14:solidFill>
          </w14:textFill>
        </w:rPr>
        <w:t>相应类别的</w:t>
      </w:r>
      <w:r>
        <w:rPr>
          <w:bCs/>
          <w:color w:val="000000" w:themeColor="text1"/>
          <w:sz w:val="24"/>
          <w14:textFill>
            <w14:solidFill>
              <w14:schemeClr w14:val="tx1"/>
            </w14:solidFill>
          </w14:textFill>
        </w:rPr>
        <w:t>基金份额归基金份额持有人所有，其中利息转份额的具体数额以登记机构的记录为准。</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3、基金认购份额的计算</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基金认购份额具体的计算方法在招募说明书中列示。</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4、认购份额余额的处理方式</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认购份额</w:t>
      </w:r>
      <w:bookmarkStart w:id="11" w:name="OLE_LINK1"/>
      <w:r>
        <w:rPr>
          <w:bCs/>
          <w:color w:val="000000" w:themeColor="text1"/>
          <w:sz w:val="24"/>
          <w14:textFill>
            <w14:solidFill>
              <w14:schemeClr w14:val="tx1"/>
            </w14:solidFill>
          </w14:textFill>
        </w:rPr>
        <w:t>的计算</w:t>
      </w:r>
      <w:bookmarkEnd w:id="11"/>
      <w:r>
        <w:rPr>
          <w:bCs/>
          <w:color w:val="000000" w:themeColor="text1"/>
          <w:sz w:val="24"/>
          <w14:textFill>
            <w14:solidFill>
              <w14:schemeClr w14:val="tx1"/>
            </w14:solidFill>
          </w14:textFill>
        </w:rPr>
        <w:t>保留到小数点后2位，小数点2位以后的部分四舍五入，由此误差产生的收益或损失由基金财产承担。</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5、认购</w:t>
      </w:r>
      <w:r>
        <w:rPr>
          <w:rFonts w:hint="eastAsia"/>
          <w:bCs/>
          <w:color w:val="000000" w:themeColor="text1"/>
          <w:sz w:val="24"/>
          <w14:textFill>
            <w14:solidFill>
              <w14:schemeClr w14:val="tx1"/>
            </w14:solidFill>
          </w14:textFill>
        </w:rPr>
        <w:t>申请</w:t>
      </w:r>
      <w:r>
        <w:rPr>
          <w:bCs/>
          <w:color w:val="000000" w:themeColor="text1"/>
          <w:sz w:val="24"/>
          <w14:textFill>
            <w14:solidFill>
              <w14:schemeClr w14:val="tx1"/>
            </w14:solidFill>
          </w14:textFill>
        </w:rPr>
        <w:t>的确认</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者自行承担。</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三、基金份额认购金额的限制</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1、投资人认购时，需按销售机构规定的方式全额缴款。</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2、基金管理人可以对每个基金交易账户的单笔认购金额进行限制，具体限制请参看招募说明书或相关公告。</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3、基金管理人可以对募集期间的单个投资人的累计认购金额进行限制，具体限制和处理方法请参看招募说明书或相关公告。</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4、投资人在募集期内可以多次认购基金份额，认购费按每笔认购申请单独计算，但已受理的认购申请不允许撤销。</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5、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全部或部分拒绝该等认购申请。投资人认购的基金份额数以基金合同生效后登记机构的确认为准。</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br w:type="page"/>
      </w:r>
    </w:p>
    <w:p>
      <w:pPr>
        <w:tabs>
          <w:tab w:val="left" w:pos="1504"/>
        </w:tabs>
        <w:spacing w:before="102"/>
        <w:ind w:right="236"/>
        <w:jc w:val="center"/>
        <w:outlineLvl w:val="0"/>
        <w:rPr>
          <w:rFonts w:hint="eastAsia"/>
          <w:b/>
          <w:bCs/>
          <w:color w:val="000000" w:themeColor="text1"/>
          <w:sz w:val="30"/>
          <w:szCs w:val="30"/>
          <w14:textFill>
            <w14:solidFill>
              <w14:schemeClr w14:val="tx1"/>
            </w14:solidFill>
          </w14:textFill>
        </w:rPr>
      </w:pPr>
      <w:bookmarkStart w:id="12" w:name="_Toc173413661"/>
      <w:r>
        <w:rPr>
          <w:b/>
          <w:bCs/>
          <w:color w:val="000000" w:themeColor="text1"/>
          <w:sz w:val="30"/>
          <w:szCs w:val="30"/>
          <w14:textFill>
            <w14:solidFill>
              <w14:schemeClr w14:val="tx1"/>
            </w14:solidFill>
          </w14:textFill>
        </w:rPr>
        <w:t>第五部分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基金备案</w:t>
      </w:r>
      <w:bookmarkEnd w:id="12"/>
    </w:p>
    <w:p>
      <w:pPr>
        <w:rPr>
          <w:rFonts w:hint="eastAsia"/>
          <w:color w:val="000000" w:themeColor="text1"/>
          <w:sz w:val="30"/>
          <w:szCs w:val="30"/>
          <w14:textFill>
            <w14:solidFill>
              <w14:schemeClr w14:val="tx1"/>
            </w14:solidFill>
          </w14:textFill>
        </w:rPr>
      </w:pP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一、基金备案的条件</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本基金自基金份额发售之日起</w:t>
      </w:r>
      <w:r>
        <w:rPr>
          <w:rFonts w:hint="eastAsia"/>
          <w:bCs/>
          <w:color w:val="000000" w:themeColor="text1"/>
          <w:sz w:val="24"/>
          <w14:textFill>
            <w14:solidFill>
              <w14:schemeClr w14:val="tx1"/>
            </w14:solidFill>
          </w14:textFill>
        </w:rPr>
        <w:t>3</w:t>
      </w:r>
      <w:r>
        <w:rPr>
          <w:bCs/>
          <w:color w:val="000000" w:themeColor="text1"/>
          <w:sz w:val="24"/>
          <w14:textFill>
            <w14:solidFill>
              <w14:schemeClr w14:val="tx1"/>
            </w14:solidFill>
          </w14:textFill>
        </w:rPr>
        <w:t>个月内，在基金募集份额总额不少于2亿份，基金募集金额不少于2亿元人民币且基金认购人数不少于200人的条件下，基金募集期届满或基金管理人依据法律法规及招募说明书可以决定停止基金发售，并在</w:t>
      </w:r>
      <w:r>
        <w:rPr>
          <w:rFonts w:hint="eastAsia"/>
          <w:bCs/>
          <w:color w:val="000000" w:themeColor="text1"/>
          <w:sz w:val="24"/>
          <w14:textFill>
            <w14:solidFill>
              <w14:schemeClr w14:val="tx1"/>
            </w14:solidFill>
          </w14:textFill>
        </w:rPr>
        <w:t>募集</w:t>
      </w:r>
      <w:r>
        <w:rPr>
          <w:bCs/>
          <w:color w:val="000000" w:themeColor="text1"/>
          <w:sz w:val="24"/>
          <w14:textFill>
            <w14:solidFill>
              <w14:schemeClr w14:val="tx1"/>
            </w14:solidFill>
          </w14:textFill>
        </w:rPr>
        <w:t>结束之日起10日内聘请法定验资机构验资，自收到验资报告之日起10日内，向中国证监会办理基金备案手续。</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Pr>
          <w:rFonts w:hint="eastAsia"/>
          <w:bCs/>
          <w:color w:val="000000" w:themeColor="text1"/>
          <w:sz w:val="24"/>
          <w14:textFill>
            <w14:solidFill>
              <w14:schemeClr w14:val="tx1"/>
            </w14:solidFill>
          </w14:textFill>
        </w:rPr>
        <w:t>认购资金在基金募集期形成的利息在本基金合同生效后折成基金份额归基金投资者所有。利息转份额的具体数额以登记机构的记录为准。</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二、基金合同不能生效时募集资金的处理方式</w:t>
      </w:r>
    </w:p>
    <w:p>
      <w:pPr>
        <w:spacing w:line="360" w:lineRule="auto"/>
        <w:ind w:firstLine="48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如果募集期限届满，未满足基金备案条件，基金管理人应当承担下列责任：</w:t>
      </w:r>
    </w:p>
    <w:p>
      <w:pPr>
        <w:spacing w:line="360" w:lineRule="auto"/>
        <w:ind w:firstLine="48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1、以其固有财产承担因募集行为而产生的债务和费用</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2、在基金募集期限届满后30日内返还投资者已</w:t>
      </w:r>
      <w:r>
        <w:rPr>
          <w:rFonts w:hint="eastAsia"/>
          <w:bCs/>
          <w:color w:val="000000" w:themeColor="text1"/>
          <w:sz w:val="24"/>
          <w14:textFill>
            <w14:solidFill>
              <w14:schemeClr w14:val="tx1"/>
            </w14:solidFill>
          </w14:textFill>
        </w:rPr>
        <w:t>交</w:t>
      </w:r>
      <w:r>
        <w:rPr>
          <w:bCs/>
          <w:color w:val="000000" w:themeColor="text1"/>
          <w:sz w:val="24"/>
          <w14:textFill>
            <w14:solidFill>
              <w14:schemeClr w14:val="tx1"/>
            </w14:solidFill>
          </w14:textFill>
        </w:rPr>
        <w:t>纳的款项，并加计银行同期活期存款利息</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3、如基金募集失败，基金管理人、基金托管人及销售机构不得请求报酬。基金管理人、基金托管人和销售机构为基金募集支付之一切费用应由各方各自承担。</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三、基金存续期内的基金份额持有人数量和资产规模</w:t>
      </w:r>
    </w:p>
    <w:p>
      <w:pPr>
        <w:spacing w:line="360" w:lineRule="auto"/>
        <w:ind w:firstLine="480" w:firstLineChars="200"/>
        <w:rPr>
          <w:rFonts w:hint="eastAsia"/>
          <w:bCs/>
          <w:color w:val="000000" w:themeColor="text1"/>
          <w:sz w:val="24"/>
          <w14:textFill>
            <w14:solidFill>
              <w14:schemeClr w14:val="tx1"/>
            </w14:solidFill>
          </w14:textFill>
        </w:rPr>
      </w:pPr>
      <w:r>
        <w:rPr>
          <w:color w:val="000000" w:themeColor="text1"/>
          <w:sz w:val="24"/>
          <w14:textFill>
            <w14:solidFill>
              <w14:schemeClr w14:val="tx1"/>
            </w14:solidFill>
          </w14:textFill>
        </w:rPr>
        <w:t>基金合同生效后，</w:t>
      </w:r>
      <w:r>
        <w:rPr>
          <w:rFonts w:hint="eastAsia"/>
          <w:color w:val="000000" w:themeColor="text1"/>
          <w:sz w:val="24"/>
          <w14:textFill>
            <w14:solidFill>
              <w14:schemeClr w14:val="tx1"/>
            </w14:solidFill>
          </w14:textFill>
        </w:rPr>
        <w:t>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法律法规或中国证监会另有规定时，从其规定。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br w:type="page"/>
      </w:r>
    </w:p>
    <w:p>
      <w:pPr>
        <w:tabs>
          <w:tab w:val="left" w:pos="1505"/>
        </w:tabs>
        <w:spacing w:before="102"/>
        <w:ind w:right="240"/>
        <w:jc w:val="center"/>
        <w:outlineLvl w:val="0"/>
        <w:rPr>
          <w:rFonts w:hint="eastAsia"/>
          <w:b/>
          <w:bCs/>
          <w:color w:val="000000" w:themeColor="text1"/>
          <w:sz w:val="30"/>
          <w:szCs w:val="30"/>
          <w14:textFill>
            <w14:solidFill>
              <w14:schemeClr w14:val="tx1"/>
            </w14:solidFill>
          </w14:textFill>
        </w:rPr>
      </w:pPr>
      <w:bookmarkStart w:id="13" w:name="_Toc173413662"/>
      <w:r>
        <w:rPr>
          <w:b/>
          <w:bCs/>
          <w:color w:val="000000" w:themeColor="text1"/>
          <w:sz w:val="30"/>
          <w:szCs w:val="30"/>
          <w14:textFill>
            <w14:solidFill>
              <w14:schemeClr w14:val="tx1"/>
            </w14:solidFill>
          </w14:textFill>
        </w:rPr>
        <w:t>第六部分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基金份额的申购与赎回</w:t>
      </w:r>
      <w:bookmarkEnd w:id="13"/>
    </w:p>
    <w:p>
      <w:pPr>
        <w:rPr>
          <w:rFonts w:hint="eastAsia"/>
          <w:b/>
          <w:color w:val="000000" w:themeColor="text1"/>
          <w:sz w:val="30"/>
          <w:szCs w:val="24"/>
          <w14:textFill>
            <w14:solidFill>
              <w14:schemeClr w14:val="tx1"/>
            </w14:solidFill>
          </w14:textFill>
        </w:rPr>
      </w:pP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一、申购和赎回场所</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本基金的申购与赎回将通过销售机构进行。具体的销售机构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二、申购和赎回的开放日及时间</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1、开放日及开放时间</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投资人在开放日办理基金份额的申购和赎回，具体办理时间为上海证券交易所、深圳证券交易所、北京证券交易所的正常交易日的交易时间（若该工作日为非港股通交易日，则本基金有权不开放基金份额申购、赎回或其他业务，具体以届时公告为准），但基金管理人根据法律法规、中国证监会的要求或本基金合同的规定公告暂停申购、赎回时除外。</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2、申购、赎回开始日及业务办理时间</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基金管理人可以根据实际情况依法决定本基金开始办理申购的具体日期，具体业务办理时间在申购开始公告中规定。</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基金管理人自基金合同生效之日起不超过3个月开始办理赎回，具体业务办理时间在赎回开始公告中规定。</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在确定申购开始与赎回开始时间后，基金管理人应在申购、赎回开放日前依照《信息披露办法》的有关规定在规定媒介上公告申购与赎回的开始时间。</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基金管理人不得在基金合同约定之外的日期或者时间办理基金份额的申购、赎回或者转换。投资人在基金合同约定之外的日期和时间提出申购、赎回或转换申请且登记机构确认接受的，其基金份额申购、赎回、转换价格为下一开放日基金份额申购、赎回、转换的价格。</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三、申购与赎回的原则</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1、“未知价”原则，即申购、赎回价格以申请当日收市后计算的相应类别基金份额净值为基准进行计算</w:t>
      </w:r>
      <w:r>
        <w:rPr>
          <w:rFonts w:hint="eastAsia" w:cstheme="minorBidi"/>
          <w:color w:val="000000" w:themeColor="text1"/>
          <w:kern w:val="2"/>
          <w:sz w:val="24"/>
          <w:szCs w:val="24"/>
          <w:lang w:val="en-US" w:bidi="ar-SA"/>
          <w14:textFill>
            <w14:solidFill>
              <w14:schemeClr w14:val="tx1"/>
            </w14:solidFill>
          </w14:textFill>
        </w:rPr>
        <w:t>。</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2、“金额申购、份额赎回”原则，即申购以金额申请，赎回以份额申请</w:t>
      </w:r>
      <w:r>
        <w:rPr>
          <w:rFonts w:hint="eastAsia" w:cstheme="minorBidi"/>
          <w:color w:val="000000" w:themeColor="text1"/>
          <w:kern w:val="2"/>
          <w:sz w:val="24"/>
          <w:szCs w:val="24"/>
          <w:lang w:val="en-US" w:bidi="ar-SA"/>
          <w14:textFill>
            <w14:solidFill>
              <w14:schemeClr w14:val="tx1"/>
            </w14:solidFill>
          </w14:textFill>
        </w:rPr>
        <w:t>。</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3、当日的申购与赎回申请可以在基金管理人规定的时间以内撤销</w:t>
      </w:r>
      <w:r>
        <w:rPr>
          <w:rFonts w:hint="eastAsia" w:cstheme="minorBidi"/>
          <w:color w:val="000000" w:themeColor="text1"/>
          <w:kern w:val="2"/>
          <w:sz w:val="24"/>
          <w:szCs w:val="24"/>
          <w:lang w:val="en-US" w:bidi="ar-SA"/>
          <w14:textFill>
            <w14:solidFill>
              <w14:schemeClr w14:val="tx1"/>
            </w14:solidFill>
          </w14:textFill>
        </w:rPr>
        <w:t>。</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4、赎回遵循“先进先出”原则，即按照投资人认购、申购的先后次序进行顺序赎回，先认购或申购的份额先赎回</w:t>
      </w:r>
      <w:r>
        <w:rPr>
          <w:rFonts w:hint="eastAsia" w:cstheme="minorBidi"/>
          <w:color w:val="000000" w:themeColor="text1"/>
          <w:kern w:val="2"/>
          <w:sz w:val="24"/>
          <w:szCs w:val="24"/>
          <w:lang w:val="en-US" w:bidi="ar-SA"/>
          <w14:textFill>
            <w14:solidFill>
              <w14:schemeClr w14:val="tx1"/>
            </w14:solidFill>
          </w14:textFill>
        </w:rPr>
        <w:t>。</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5</w:t>
      </w:r>
      <w:r>
        <w:rPr>
          <w:rFonts w:cstheme="minorBidi"/>
          <w:color w:val="000000" w:themeColor="text1"/>
          <w:kern w:val="2"/>
          <w:sz w:val="24"/>
          <w:szCs w:val="24"/>
          <w:lang w:val="en-US" w:bidi="ar-SA"/>
          <w14:textFill>
            <w14:solidFill>
              <w14:schemeClr w14:val="tx1"/>
            </w14:solidFill>
          </w14:textFill>
        </w:rPr>
        <w:t>、</w:t>
      </w:r>
      <w:r>
        <w:rPr>
          <w:rFonts w:hint="eastAsia" w:cstheme="minorBidi"/>
          <w:color w:val="000000" w:themeColor="text1"/>
          <w:kern w:val="2"/>
          <w:sz w:val="24"/>
          <w:szCs w:val="24"/>
          <w:lang w:val="en-US" w:bidi="ar-SA"/>
          <w14:textFill>
            <w14:solidFill>
              <w14:schemeClr w14:val="tx1"/>
            </w14:solidFill>
          </w14:textFill>
        </w:rPr>
        <w:t>办理申购、赎回业务时，应当遵循基金份额持有人利益优先原则，确保投资者的合法权益不受损害并得到公平对待。</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基金管理人可在法律法规允许的情况下，对上述原则进行调整。基金管理人必须在新规则开始实施前依照《信息披露办法》的有关规定在规定媒介上公告。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四、申购与赎回的程序</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1、申购和赎回的申请方式</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投资人必须根据销售机构规定的程序，在开放日的具体业务办理时间内提出申购或赎回的申请。</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投资人办理申购、赎回等业务时应提交的文件和办理手续、办理时间、处理规则等在遵守基金合同和招募说明书规定的前提下，以各销售机构的具体规定为准。</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2、申购和赎回的款项支付</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投资人申购基金份额时，必须在规定时间内全额交付申购款项，投资人全额交付申购款项，申购申请成立；基金份额登记机构确认基金份额时，申购生效。</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基金份额持有人递交赎回申请，赎回成立；基金份额登记机构确认赎回时，赎回生效。投资者赎回申请生效后，基金管理人将在</w:t>
      </w:r>
      <w:r>
        <w:rPr>
          <w:rFonts w:cstheme="minorBidi"/>
          <w:color w:val="000000" w:themeColor="text1"/>
          <w:kern w:val="2"/>
          <w:sz w:val="24"/>
          <w:szCs w:val="24"/>
          <w:lang w:val="en-US" w:bidi="ar-SA"/>
          <w14:textFill>
            <w14:solidFill>
              <w14:schemeClr w14:val="tx1"/>
            </w14:solidFill>
          </w14:textFill>
        </w:rPr>
        <w:t>T＋7日(含本日)内支付赎回款项。</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遇证券、期货交易所或交易市场数据传输延迟、通讯系统故障、银行数据交换系统故障</w:t>
      </w:r>
      <w:r>
        <w:rPr>
          <w:rFonts w:hint="eastAsia" w:cstheme="minorBidi"/>
          <w:color w:val="000000" w:themeColor="text1"/>
          <w:kern w:val="2"/>
          <w:sz w:val="24"/>
          <w:szCs w:val="24"/>
          <w:lang w:val="en-US" w:bidi="ar-SA"/>
          <w14:textFill>
            <w14:solidFill>
              <w14:schemeClr w14:val="tx1"/>
            </w14:solidFill>
          </w14:textFill>
        </w:rPr>
        <w:t>、港股通交易系统故障或港股通资金交收规则限制</w:t>
      </w:r>
      <w:r>
        <w:rPr>
          <w:rFonts w:cstheme="minorBidi"/>
          <w:color w:val="000000" w:themeColor="text1"/>
          <w:kern w:val="2"/>
          <w:sz w:val="24"/>
          <w:szCs w:val="24"/>
          <w:lang w:val="en-US" w:bidi="ar-SA"/>
          <w14:textFill>
            <w14:solidFill>
              <w14:schemeClr w14:val="tx1"/>
            </w14:solidFill>
          </w14:textFill>
        </w:rPr>
        <w:t>等非基金管理人及基金托管人所能控制的因素影响业务处理流程时，赎回款项的支付时间相应顺延</w:t>
      </w:r>
      <w:r>
        <w:rPr>
          <w:rFonts w:hint="eastAsia" w:cstheme="minorBidi"/>
          <w:color w:val="000000" w:themeColor="text1"/>
          <w:kern w:val="2"/>
          <w:sz w:val="24"/>
          <w:szCs w:val="24"/>
          <w:lang w:val="en-US" w:bidi="ar-SA"/>
          <w14:textFill>
            <w14:solidFill>
              <w14:schemeClr w14:val="tx1"/>
            </w14:solidFill>
          </w14:textFill>
        </w:rPr>
        <w:t>至上述情形消除后的下一个工作日</w:t>
      </w:r>
      <w:r>
        <w:rPr>
          <w:rFonts w:cstheme="minorBidi"/>
          <w:color w:val="000000" w:themeColor="text1"/>
          <w:kern w:val="2"/>
          <w:sz w:val="24"/>
          <w:szCs w:val="24"/>
          <w:lang w:val="en-US" w:bidi="ar-SA"/>
          <w14:textFill>
            <w14:solidFill>
              <w14:schemeClr w14:val="tx1"/>
            </w14:solidFill>
          </w14:textFill>
        </w:rPr>
        <w:t>。</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如出现港股通暂停交易或交收、流动性不足等原因导致无法足额卖出或遇港股通交易的非交收日而导致延迟交收，赎回款项的清算交收可延迟办理。在发生巨额赎回或本基金合同</w:t>
      </w:r>
      <w:r>
        <w:rPr>
          <w:rFonts w:hint="eastAsia" w:cstheme="minorBidi"/>
          <w:color w:val="000000" w:themeColor="text1"/>
          <w:kern w:val="2"/>
          <w:sz w:val="24"/>
          <w:szCs w:val="24"/>
          <w:lang w:val="en-US" w:bidi="ar-SA"/>
          <w14:textFill>
            <w14:solidFill>
              <w14:schemeClr w14:val="tx1"/>
            </w14:solidFill>
          </w14:textFill>
        </w:rPr>
        <w:t>约定</w:t>
      </w:r>
      <w:r>
        <w:rPr>
          <w:rFonts w:cstheme="minorBidi"/>
          <w:color w:val="000000" w:themeColor="text1"/>
          <w:kern w:val="2"/>
          <w:sz w:val="24"/>
          <w:szCs w:val="24"/>
          <w:lang w:val="en-US" w:bidi="ar-SA"/>
          <w14:textFill>
            <w14:solidFill>
              <w14:schemeClr w14:val="tx1"/>
            </w14:solidFill>
          </w14:textFill>
        </w:rPr>
        <w:t>的其他暂停赎回或延缓支付赎回款项的情形</w:t>
      </w:r>
      <w:r>
        <w:rPr>
          <w:rFonts w:hint="eastAsia" w:cstheme="minorBidi"/>
          <w:color w:val="000000" w:themeColor="text1"/>
          <w:kern w:val="2"/>
          <w:sz w:val="24"/>
          <w:szCs w:val="24"/>
          <w:lang w:val="en-US" w:bidi="ar-SA"/>
          <w14:textFill>
            <w14:solidFill>
              <w14:schemeClr w14:val="tx1"/>
            </w14:solidFill>
          </w14:textFill>
        </w:rPr>
        <w:t>时，款项的支付按照本基金合同有关条款处理。</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3、申购和赎回申请的确认</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基金管理人应以交易时间结束前受理有效申购或赎回申请的当天作为申购或赎回申请日</w:t>
      </w:r>
      <w:r>
        <w:rPr>
          <w:rFonts w:cstheme="minorBidi"/>
          <w:color w:val="000000" w:themeColor="text1"/>
          <w:kern w:val="2"/>
          <w:sz w:val="24"/>
          <w:szCs w:val="24"/>
          <w:lang w:val="en-US" w:bidi="ar-SA"/>
          <w14:textFill>
            <w14:solidFill>
              <w14:schemeClr w14:val="tx1"/>
            </w14:solidFill>
          </w14:textFill>
        </w:rPr>
        <w:t>(T日)，在正常情况下，本基金登记机构在T+1日内对该交易的有效性进行确认。本基金份额登记机构确认申购或赎回的，申购或赎回生效。T日提交的有效申请，投资人应在T+2日(包括该日)后及时到办理申购或赎回业务的销售机构或以销售机构规定的其他方式查询申请的确认情况。若申购未被确认，则申购款项退还给投资人。</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销售机构对申购、赎回申请的受理并不代表申请一定会被确认，而仅代表销售机构确实接收到申请。申购、赎回申请的确认以登记机构的确认结果为准。对于申请的确认情况，投资者应及时查询并妥善行使合法权利，否则由此产生的任何损失由投资者自行承担。</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4、如未来法律法规或监管机构对上述内容另有规定，从其规定。</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在法律法规允许的范围内，本基金登记机构可根据相关业务规则，对上述业务办理时间进行调整，本基金管理人将于开始实施前按照有关规定予以公告。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五、申购和赎回的数量限制</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1、基金管理人可以规定投资人首次申购和每次申购的金额限制以及每次赎回的份额限制，具体规定请参见招募说明书或相关公告。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2、基金管理人可以规定投资人每个基金交易账户的最低基金份额余额，具体规定请参见招募说明书或相关公告。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3、基金管理人可以规定单个投资人累计持有的基金份额上限、单日或单笔申购金额上限，具体规定请参见招募说明书或相关公告。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4、基金管理人有权规定本基金的总规模限额或基金单日净申购比例上限，具体规定请参见招募说明书或相关公告。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5、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基金管理人基于投资运作与风险控制的需要，可采取上述一项或多项措施对基金规模予以控制，具体以基金管理人相关公告为准。</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6、基金管理人可在不违反法律法规的情况下，调整上述申购金额和赎回份额的数量限制，或者新增基金申购或赎回的控制措施。基金管理人应在调整前依照《信息披露办法》的有关规定在规定媒介上公告。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六、申购和赎回的价格、费用及其用途</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1、</w:t>
      </w:r>
      <w:r>
        <w:rPr>
          <w:rFonts w:hint="eastAsia" w:cstheme="minorBidi"/>
          <w:color w:val="000000" w:themeColor="text1"/>
          <w:kern w:val="2"/>
          <w:sz w:val="24"/>
          <w:szCs w:val="24"/>
          <w:lang w:val="en-US" w:bidi="ar-SA"/>
          <w14:textFill>
            <w14:solidFill>
              <w14:schemeClr w14:val="tx1"/>
            </w14:solidFill>
          </w14:textFill>
        </w:rPr>
        <w:t>本基金A类基金份额和C类基金份额分别设置代码，分别计算和公告两类基金份额净值和两类基金份额累计净值。本基金各类基金份额净值的计算，均保留到小数点后4位，小数点后第5位四舍五入，由此产生的收益或损失由基金财产承担。T日的各类基金份额净值在当天收市后计算，并在T+1日内公告。遇特殊情况，经履行适当程序，可以适当延迟计算或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2、申购份额的计算及余额的处理方式：本基金A类和C类基金份额申购份额的计算及余额的处理方式详见《招募说明书》。本基金A类基金份额的申购费率由基金管理人决定，并在招募说明书及基金产品资料概要中列示。本基金C类基金份额不收取申购费。申购的有效份额为净申购金额除以当日的该类基金份额净值，有效份额单位为份，上述计算结果均按四舍五入方法，保留到小数点后2位，由此产生的收益或损失由基金财产承担。</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3、赎回金额的计算及处理方式：本基金赎回金额的计算详见《招募说明书》。本基金的赎回费率由基金管理人决定，并在招募说明书及基金产品资料概要中列示。赎回金额为按实际确认的有效赎回份额乘以当日的该类基金份额净值并扣除相应的费用，赎回金额单位为元。上述计算结果均按四舍五入方法，保留到小数点后2位，由此产生的收益或损失由基金财产承担。</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4、A类基金份额的申购费用由申购本基金A类基金份额的投资人承担，不列入基金财产。C类基金份额不收取申购费用。</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5、赎回费用由赎回基金份额的基金份额持有人承担，在基金份额持有人赎回基金份额时收取。赎回费用全额计入基金财产。</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6、本基金各类基金份额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7、当本基金发生大额申购或赎回情形时，基金管理人可以采用摆动定价机制，以确保基金估值的公平性。具体处理原则与操作规范遵循相关法律法规以及监管部门、自律规则的规定</w:t>
      </w:r>
      <w:r>
        <w:rPr>
          <w:rFonts w:hint="eastAsia" w:cstheme="minorBidi"/>
          <w:color w:val="000000" w:themeColor="text1"/>
          <w:kern w:val="2"/>
          <w:sz w:val="24"/>
          <w:szCs w:val="24"/>
          <w:lang w:val="en-US" w:bidi="ar-SA"/>
          <w14:textFill>
            <w14:solidFill>
              <w14:schemeClr w14:val="tx1"/>
            </w14:solidFill>
          </w14:textFill>
        </w:rPr>
        <w:t>，具体见基金管理人届时的相关公告</w:t>
      </w:r>
      <w:r>
        <w:rPr>
          <w:rFonts w:cstheme="minorBidi"/>
          <w:color w:val="000000" w:themeColor="text1"/>
          <w:kern w:val="2"/>
          <w:sz w:val="24"/>
          <w:szCs w:val="24"/>
          <w:lang w:val="en-US" w:bidi="ar-SA"/>
          <w14:textFill>
            <w14:solidFill>
              <w14:schemeClr w14:val="tx1"/>
            </w14:solidFill>
          </w14:textFill>
        </w:rPr>
        <w:t>。</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8、</w:t>
      </w:r>
      <w:r>
        <w:rPr>
          <w:rFonts w:hint="eastAsia" w:cstheme="minorBidi"/>
          <w:color w:val="000000" w:themeColor="text1"/>
          <w:kern w:val="2"/>
          <w:sz w:val="24"/>
          <w:szCs w:val="24"/>
          <w:lang w:val="en-US" w:bidi="ar-SA"/>
          <w14:textFill>
            <w14:solidFill>
              <w14:schemeClr w14:val="tx1"/>
            </w14:solidFill>
          </w14:textFill>
        </w:rPr>
        <w:t>在法律法规规定和基金合同约定的范围内且对基金份额持有人利益无实质性不利影响的前提下，基金管理人可以根据市场情况制定基金促销计划，定期或不定期地开展基金促销活动。在基金促销活动期间，按相关监管部门要求履行必要手续后，基金管理人可以适当调低基金申购费率和</w:t>
      </w:r>
      <w:r>
        <w:rPr>
          <w:rFonts w:hint="eastAsia"/>
          <w:sz w:val="24"/>
          <w:lang w:val="en-US"/>
        </w:rPr>
        <w:t>销售服务费率</w:t>
      </w:r>
      <w:r>
        <w:rPr>
          <w:rFonts w:hint="eastAsia" w:cstheme="minorBidi"/>
          <w:color w:val="000000" w:themeColor="text1"/>
          <w:kern w:val="2"/>
          <w:sz w:val="24"/>
          <w:szCs w:val="24"/>
          <w:lang w:val="en-US" w:bidi="ar-SA"/>
          <w14:textFill>
            <w14:solidFill>
              <w14:schemeClr w14:val="tx1"/>
            </w14:solidFill>
          </w14:textFill>
        </w:rPr>
        <w:t>，并进行公告。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七、拒绝或暂停申购的情形</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发生下列情况之一时，基金管理人可拒绝或暂停接受投资人的申购申请：</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1、因不可抗力导致基金无法正常运作。</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2、发生基金合同规定的暂停基金资产估值情况。</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3、证券交易所或期货交易所或外汇市场交易时间非正常停市</w:t>
      </w:r>
      <w:r>
        <w:rPr>
          <w:rFonts w:hint="eastAsia" w:cstheme="minorBidi"/>
          <w:color w:val="000000" w:themeColor="text1"/>
          <w:kern w:val="2"/>
          <w:sz w:val="24"/>
          <w:szCs w:val="24"/>
          <w:lang w:val="en-US" w:bidi="ar-SA"/>
          <w14:textFill>
            <w14:solidFill>
              <w14:schemeClr w14:val="tx1"/>
            </w14:solidFill>
          </w14:textFill>
        </w:rPr>
        <w:t>或者基金参与港股通交易且港股通临时停市</w:t>
      </w:r>
      <w:r>
        <w:rPr>
          <w:rFonts w:cstheme="minorBidi"/>
          <w:color w:val="000000" w:themeColor="text1"/>
          <w:kern w:val="2"/>
          <w:sz w:val="24"/>
          <w:szCs w:val="24"/>
          <w:lang w:val="en-US" w:bidi="ar-SA"/>
          <w14:textFill>
            <w14:solidFill>
              <w14:schemeClr w14:val="tx1"/>
            </w14:solidFill>
          </w14:textFill>
        </w:rPr>
        <w:t>，导致基金管理人无法计算当日基金资产净值。</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4、基金资产规模过大，使基金管理人无法找到合适的投资品种，或其他可能对基金业绩产生负面影响，或发生其他损害现有基金份额持有人利益的情形。</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5、基金管理人、基金托管人、销售机构、登记机构、支付结算机构等因异常情况导致基金销售系统、基金注册登记系统、基金会计系统等无法正常运行。</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6、占前一估值日基金资产净值50%以上的资产出现无可参考的活跃市场价格且采用估值技术仍导致公允价值存在重大不确定性时，经与基金托管人协商确认后，基金管理人应当暂停接受基金申购申请。</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7、当继续接受申购申请，可能会导致本基金总规模超过基金管理人规定的本基金总规模上限时；或使本基金单日净申购比例超过基金管理人规定的当日净申购比例上限。</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8、基金管理人接受某笔或者某些申购申请有可能导致单一投资者持有基金份额的比例达到或者超过50%，或者变相规避50%集中度的情形。</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9、接受某笔或某些申购申请可能会影响或损害现有基金份额持有人利益。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10、当接受某笔或某些申购申请，可能会导致该投资人累计持有的份额超过单个投资人累计持有的份额上限；或该投资人当日申购金额超过单个投资人单日或单笔申购金额上限。</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11、基金参与港股通交易且港股通交易每日额度不足。</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12、法律法规规定或中国证监会认定的其他情形。</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发生上述第</w:t>
      </w:r>
      <w:r>
        <w:rPr>
          <w:rFonts w:cstheme="minorBidi"/>
          <w:color w:val="000000" w:themeColor="text1"/>
          <w:kern w:val="2"/>
          <w:sz w:val="24"/>
          <w:szCs w:val="24"/>
          <w:lang w:val="en-US" w:bidi="ar-SA"/>
          <w14:textFill>
            <w14:solidFill>
              <w14:schemeClr w14:val="tx1"/>
            </w14:solidFill>
          </w14:textFill>
        </w:rPr>
        <w:t>1项至第7项及第11、12项拒绝或暂停申购情形之一且基金管理人决定拒绝或暂停接受投资人申购申请时，基金管理人应当根据《信息披露办法》的规定在规定媒介上刊登暂停申购公告。如果投资人的申购申请被全部或部分拒绝的，被拒绝的申购款项将退还给投资人。在暂停申购的情况消除时，基金管理人应及时恢复申购业务的办理。发生上述第8、9、10项拒绝申购情形之一的，基金管理人有权按照维护存量基金份额持有人利益的原则，决定拒绝接受投资人申购申请，或采取部分确认等方式对该投资人的申购申请进行限制。</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八、暂停赎回或延缓支付赎回款项的情形</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发生下列情形之一时，基金管理人可暂停接受投资人的赎回申请或延缓支付赎回款项：</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1、因不可抗力导致基金管理人不能支付赎回款项。</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2、发生基金合同规定的暂停基金资产估值情况。</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3、证券交易所或期货交易所或外汇市场交易时间非正常停市</w:t>
      </w:r>
      <w:r>
        <w:rPr>
          <w:rFonts w:hint="eastAsia" w:cstheme="minorBidi"/>
          <w:color w:val="000000" w:themeColor="text1"/>
          <w:kern w:val="2"/>
          <w:sz w:val="24"/>
          <w:szCs w:val="24"/>
          <w:lang w:val="en-US" w:bidi="ar-SA"/>
          <w14:textFill>
            <w14:solidFill>
              <w14:schemeClr w14:val="tx1"/>
            </w14:solidFill>
          </w14:textFill>
        </w:rPr>
        <w:t>或者基金参与港股通交易且港股通临时停市，导致基金管理人无法计算当日基金资产净值。</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4、连续两个或两个以上开放日发生巨额赎回。</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5、发生继续接受赎回申请将损害现有基金份额持有人利益的情形</w:t>
      </w:r>
      <w:r>
        <w:rPr>
          <w:rFonts w:hint="eastAsia" w:cstheme="minorBidi"/>
          <w:color w:val="000000" w:themeColor="text1"/>
          <w:kern w:val="2"/>
          <w:sz w:val="24"/>
          <w:szCs w:val="24"/>
          <w:lang w:val="en-US" w:bidi="ar-SA"/>
          <w14:textFill>
            <w14:solidFill>
              <w14:schemeClr w14:val="tx1"/>
            </w14:solidFill>
          </w14:textFill>
        </w:rPr>
        <w:t>时，基金管理人可暂停接受基金份额持有人的赎回申请。</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6、占前一估值日基金资产净值50%以上的资产出现无可参考的活跃市场价格且采用估值技术</w:t>
      </w:r>
      <w:r>
        <w:rPr>
          <w:rFonts w:hint="eastAsia" w:cstheme="minorBidi"/>
          <w:color w:val="000000" w:themeColor="text1"/>
          <w:kern w:val="2"/>
          <w:sz w:val="24"/>
          <w:szCs w:val="24"/>
          <w:lang w:val="en-US" w:bidi="ar-SA"/>
          <w14:textFill>
            <w14:solidFill>
              <w14:schemeClr w14:val="tx1"/>
            </w14:solidFill>
          </w14:textFill>
        </w:rPr>
        <w:t>仍导致公允价值存在重大不确定性时，经与基金托管人协商确认后，基金管理人应当延缓支付赎回款项或暂停接受基金赎回申请。</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7、法律法规规定或中国证监会认定的其他情形。</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发生上述情形（第</w:t>
      </w:r>
      <w:r>
        <w:rPr>
          <w:rFonts w:cstheme="minorBidi"/>
          <w:color w:val="000000" w:themeColor="text1"/>
          <w:kern w:val="2"/>
          <w:sz w:val="24"/>
          <w:szCs w:val="24"/>
          <w:lang w:val="en-US" w:bidi="ar-SA"/>
          <w14:textFill>
            <w14:solidFill>
              <w14:schemeClr w14:val="tx1"/>
            </w14:solidFill>
          </w14:textFill>
        </w:rPr>
        <w:t>4项除外）之一</w:t>
      </w:r>
      <w:r>
        <w:rPr>
          <w:rFonts w:hint="eastAsia" w:cstheme="minorBidi"/>
          <w:color w:val="000000" w:themeColor="text1"/>
          <w:kern w:val="2"/>
          <w:sz w:val="24"/>
          <w:szCs w:val="24"/>
          <w:lang w:val="en-US" w:bidi="ar-SA"/>
          <w14:textFill>
            <w14:solidFill>
              <w14:schemeClr w14:val="tx1"/>
            </w14:solidFill>
          </w14:textFill>
        </w:rPr>
        <w:t>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rFonts w:cstheme="minorBidi"/>
          <w:color w:val="000000" w:themeColor="text1"/>
          <w:kern w:val="2"/>
          <w:sz w:val="24"/>
          <w:szCs w:val="24"/>
          <w:lang w:val="en-US" w:bidi="ar-SA"/>
          <w14:textFill>
            <w14:solidFill>
              <w14:schemeClr w14:val="tx1"/>
            </w14:solidFill>
          </w14:textFill>
        </w:rPr>
        <w:t>4项所述情形，按基金合同的相关条款处理。基金份额持有人在申请赎回时可事先选择将当日可能未获受理部分予以撤销。在暂停赎回的情况消除时，基金管理人应及时恢复赎回业务的办理并公告</w:t>
      </w:r>
      <w:r>
        <w:rPr>
          <w:rFonts w:hint="eastAsia" w:cstheme="minorBidi"/>
          <w:color w:val="000000" w:themeColor="text1"/>
          <w:kern w:val="2"/>
          <w:sz w:val="24"/>
          <w:szCs w:val="24"/>
          <w:lang w:val="en-US" w:bidi="ar-SA"/>
          <w14:textFill>
            <w14:solidFill>
              <w14:schemeClr w14:val="tx1"/>
            </w14:solidFill>
          </w14:textFill>
        </w:rPr>
        <w:t>，具体时间以基金管理人届时公告为准。</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九、巨额赎回的情形及处理方式</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1、巨额赎回的认定</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若本基金单个开放日内的基金份额净赎回申请</w:t>
      </w:r>
      <w:r>
        <w:rPr>
          <w:rFonts w:cstheme="minorBidi"/>
          <w:color w:val="000000" w:themeColor="text1"/>
          <w:kern w:val="2"/>
          <w:sz w:val="24"/>
          <w:szCs w:val="24"/>
          <w:lang w:val="en-US" w:bidi="ar-SA"/>
          <w14:textFill>
            <w14:solidFill>
              <w14:schemeClr w14:val="tx1"/>
            </w14:solidFill>
          </w14:textFill>
        </w:rPr>
        <w:t>(赎回申请份额总数加上基金转换中转出申请份额总数后扣除申购申请份额总数及基金转换中转入申请份额总数后的余额)超过前一</w:t>
      </w:r>
      <w:r>
        <w:rPr>
          <w:rFonts w:hint="eastAsia" w:cstheme="minorBidi"/>
          <w:color w:val="000000" w:themeColor="text1"/>
          <w:kern w:val="2"/>
          <w:sz w:val="24"/>
          <w:szCs w:val="24"/>
          <w:lang w:val="en-US" w:bidi="ar-SA"/>
          <w14:textFill>
            <w14:solidFill>
              <w14:schemeClr w14:val="tx1"/>
            </w14:solidFill>
          </w14:textFill>
        </w:rPr>
        <w:t>工作日的基金总份额的</w:t>
      </w:r>
      <w:r>
        <w:rPr>
          <w:rFonts w:cstheme="minorBidi"/>
          <w:color w:val="000000" w:themeColor="text1"/>
          <w:kern w:val="2"/>
          <w:sz w:val="24"/>
          <w:szCs w:val="24"/>
          <w:lang w:val="en-US" w:bidi="ar-SA"/>
          <w14:textFill>
            <w14:solidFill>
              <w14:schemeClr w14:val="tx1"/>
            </w14:solidFill>
          </w14:textFill>
        </w:rPr>
        <w:t>10%，即认为是发生了巨额赎回。</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2、巨额赎回的处理方式</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当基金出现巨额赎回时，基金管理人可以根据基金当时的资产组合状况决定全额赎回、部分延期赎回或暂停赎回。</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w:t>
      </w:r>
      <w:r>
        <w:rPr>
          <w:rFonts w:cstheme="minorBidi"/>
          <w:color w:val="000000" w:themeColor="text1"/>
          <w:kern w:val="2"/>
          <w:sz w:val="24"/>
          <w:szCs w:val="24"/>
          <w:lang w:val="en-US" w:bidi="ar-SA"/>
          <w14:textFill>
            <w14:solidFill>
              <w14:schemeClr w14:val="tx1"/>
            </w14:solidFill>
          </w14:textFill>
        </w:rPr>
        <w:t>1）全额赎回：当基金管理人认为有能力支付投资人的全部赎回申请时，按正常赎回程序执行。</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w:t>
      </w:r>
      <w:r>
        <w:rPr>
          <w:rFonts w:cstheme="minorBidi"/>
          <w:color w:val="000000" w:themeColor="text1"/>
          <w:kern w:val="2"/>
          <w:sz w:val="24"/>
          <w:szCs w:val="24"/>
          <w:lang w:val="en-US" w:bidi="ar-SA"/>
          <w14:textFill>
            <w14:solidFill>
              <w14:schemeClr w14:val="tx1"/>
            </w14:solidFill>
          </w14:textFill>
        </w:rPr>
        <w:t>2）部分延期赎回：当基金管理人认为支付投资人的全部赎回申请有困难或认</w:t>
      </w:r>
      <w:r>
        <w:rPr>
          <w:rFonts w:hint="eastAsia" w:cstheme="minorBidi"/>
          <w:color w:val="000000" w:themeColor="text1"/>
          <w:kern w:val="2"/>
          <w:sz w:val="24"/>
          <w:szCs w:val="24"/>
          <w:lang w:val="en-US" w:bidi="ar-SA"/>
          <w14:textFill>
            <w14:solidFill>
              <w14:schemeClr w14:val="tx1"/>
            </w14:solidFill>
          </w14:textFill>
        </w:rPr>
        <w:t>为因支付投资人的赎回申请而进行的财产变现可能会对基金资产净值造成较大波动时，基金管理人在当日接受赎回比例不低于上一工作日基金总份额的</w:t>
      </w:r>
      <w:r>
        <w:rPr>
          <w:rFonts w:cstheme="minorBidi"/>
          <w:color w:val="000000" w:themeColor="text1"/>
          <w:kern w:val="2"/>
          <w:sz w:val="24"/>
          <w:szCs w:val="24"/>
          <w:lang w:val="en-US" w:bidi="ar-SA"/>
          <w14:textFill>
            <w14:solidFill>
              <w14:schemeClr w14:val="tx1"/>
            </w14:solidFill>
          </w14:textFill>
        </w:rP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r>
        <w:rPr>
          <w:rFonts w:hint="eastAsia" w:cstheme="minorBidi"/>
          <w:color w:val="000000" w:themeColor="text1"/>
          <w:kern w:val="2"/>
          <w:sz w:val="24"/>
          <w:szCs w:val="24"/>
          <w:lang w:val="en-US" w:bidi="ar-SA"/>
          <w14:textFill>
            <w14:solidFill>
              <w14:schemeClr w14:val="tx1"/>
            </w14:solidFill>
          </w14:textFill>
        </w:rPr>
        <w:t>并以下一开放日的该类基金份额净值为基础计算赎回金额，以此类推，直到全部赎回为止。如投资人在提交赎回申请时未作明确选择，投资人未能赎回部分作自动延期赎回处理。部分延期赎回不受单笔赎回最低份额的限制。</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w:t>
      </w:r>
      <w:r>
        <w:rPr>
          <w:rFonts w:cstheme="minorBidi"/>
          <w:color w:val="000000" w:themeColor="text1"/>
          <w:kern w:val="2"/>
          <w:sz w:val="24"/>
          <w:szCs w:val="24"/>
          <w:lang w:val="en-US" w:bidi="ar-SA"/>
          <w14:textFill>
            <w14:solidFill>
              <w14:schemeClr w14:val="tx1"/>
            </w14:solidFill>
          </w14:textFill>
        </w:rPr>
        <w:t>3）如本基金发生巨额赎回且单个开放日内单个基金份额持有人申请赎回的基金份额超过前一开放日的基金总份额的10%时，基金管理人有权先行对该单个基金份额持有人超出10%的赎回申请实施延期办理，而对该单个基金份额持有人10%以</w:t>
      </w:r>
      <w:r>
        <w:rPr>
          <w:rFonts w:hint="eastAsia" w:cstheme="minorBidi"/>
          <w:color w:val="000000" w:themeColor="text1"/>
          <w:kern w:val="2"/>
          <w:sz w:val="24"/>
          <w:szCs w:val="24"/>
          <w:lang w:val="en-US" w:bidi="ar-SA"/>
          <w14:textFill>
            <w14:solidFill>
              <w14:schemeClr w14:val="tx1"/>
            </w14:solidFill>
          </w14:textFill>
        </w:rPr>
        <w:t>内（含</w:t>
      </w:r>
      <w:r>
        <w:rPr>
          <w:rFonts w:cstheme="minorBidi"/>
          <w:color w:val="000000" w:themeColor="text1"/>
          <w:kern w:val="2"/>
          <w:sz w:val="24"/>
          <w:szCs w:val="24"/>
          <w:lang w:val="en-US" w:bidi="ar-SA"/>
          <w14:textFill>
            <w14:solidFill>
              <w14:schemeClr w14:val="tx1"/>
            </w14:solidFill>
          </w14:textFill>
        </w:rPr>
        <w:t>10%）的赎回申请与其他投资者的赎回</w:t>
      </w:r>
      <w:r>
        <w:rPr>
          <w:rFonts w:hint="eastAsia" w:cstheme="minorBidi"/>
          <w:color w:val="000000" w:themeColor="text1"/>
          <w:kern w:val="2"/>
          <w:sz w:val="24"/>
          <w:szCs w:val="24"/>
          <w:lang w:val="en-US" w:bidi="ar-SA"/>
          <w14:textFill>
            <w14:solidFill>
              <w14:schemeClr w14:val="tx1"/>
            </w14:solidFill>
          </w14:textFill>
        </w:rPr>
        <w:t>申请按前述条款处理，具体见招募说明书或相关公告。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w:t>
      </w:r>
      <w:r>
        <w:rPr>
          <w:rFonts w:cstheme="minorBidi"/>
          <w:color w:val="000000" w:themeColor="text1"/>
          <w:kern w:val="2"/>
          <w:sz w:val="24"/>
          <w:szCs w:val="24"/>
          <w:lang w:val="en-US" w:bidi="ar-SA"/>
          <w14:textFill>
            <w14:solidFill>
              <w14:schemeClr w14:val="tx1"/>
            </w14:solidFill>
          </w14:textFill>
        </w:rPr>
        <w:t>4）暂停赎回：连续2个开放日以上(含本数)发生巨额赎回，如基金管理人认为有必要，可暂停接受基金的赎回申请；已经接受的赎回申请可以延缓支付赎回款项，但不得超过20个工作日，并应当按照《信息披露办法》的规定在规定媒介上进行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3、巨额赎回的公告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当发生上述巨额赎回并延期办理时，基金管理人应当通过邮寄、传真、公告或者招募说明书规定的其他方式在</w:t>
      </w:r>
      <w:r>
        <w:rPr>
          <w:rFonts w:cstheme="minorBidi"/>
          <w:color w:val="000000" w:themeColor="text1"/>
          <w:kern w:val="2"/>
          <w:sz w:val="24"/>
          <w:szCs w:val="24"/>
          <w:lang w:val="en-US" w:bidi="ar-SA"/>
          <w14:textFill>
            <w14:solidFill>
              <w14:schemeClr w14:val="tx1"/>
            </w14:solidFill>
          </w14:textFill>
        </w:rPr>
        <w:t>3个交易日内通知基金份额持有人，说明有关处理方法，并依照《信息披露办法》的有关规定在规定媒介上刊登公告。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十、暂停申购或赎回的公告和重新开放申购或赎回的公告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1、发生上述暂停申购或赎回情况的，基金管理人应在规定期限内在规定媒介上刊登暂停公告。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2、如发生暂停的时间为1日，基金管理人应于重新开放日，按照《信息披露办法》的规定在规定媒介上刊登基金重新开放申购或赎回公告，并公布最近1个开放日的各类基金份额净值。</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cstheme="minorBidi"/>
          <w:color w:val="000000" w:themeColor="text1"/>
          <w:kern w:val="2"/>
          <w:sz w:val="24"/>
          <w:szCs w:val="24"/>
          <w:lang w:val="en-US" w:bidi="ar-SA"/>
          <w14:textFill>
            <w14:solidFill>
              <w14:schemeClr w14:val="tx1"/>
            </w14:solidFill>
          </w14:textFill>
        </w:rPr>
        <w:t>3、若暂停时间超过1日，基金管理人可以根据《信息披露办法》的规定自行确定增加公告的次数，但基金管理人须依照《信息披露办法》，最迟于重新开放日在规定媒介上刊登重新开放申购或赎回的公告，或根据实际情况在暂停公告中明确重新开放申购或赎回的时间，届时可不再另行发布重新开放的公告。</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十一、基金转换</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基金管理人可以根据相关法律法规以及本基金合同的规定决定开办本基金与基金管理人管理且开通转换的其他基金之间的转换业务，基金转换可以收取一定的转换费，相关规则由基金管理人届时根据相关法律法规及本基金合同的规定制定并公告，并提前告知基金托管人与相关机构。</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十二、基金份额的转让</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在法律法规允许且条件具备的情况下，基金管理人可受理基金份额持有人通过中国证监会认可的交易场所或者通过其他交易方式进行份额转让的申请并由登记机构办理基金份额的过户登记。基金管理人拟受理基金份额转让业务的，将提前公告，基金份额持有人应根据基金管理人公告的业务规则办理基金份额转让业务。</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十三、基金的非交易过户</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继承是指基金份额持有人死亡，其持有的基金份额由其合法的继承人继承；捐赠指基金份额持有人将其合法持有的基金份额捐赠给公益性质的基金会或社会团体；司法强制执行是指司法机构依据生效司法文书和协助执行通知书要求登记机构将基金份额持有人持有的基金份额强制划转给其他自然人、法人或其他组织。</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办理非交易过户必须提供基金登记机构要求提供的相关资料，对于符合条件的非交易过户申请按基金登记机构的规定办理，并按基金登记机构规定的标准收费。</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十四、基金的转托管</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基金份额持有人可向其销售机构申请办理已持有基金份额在不同销售机构之间的转托管，基金销售机构可以按照规定的标准收取转托管费。尽管有前述约定，基金销售机构仍有权决定是否办理基金份额的转托管业务。</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十五、定期定额投资计划</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十六、基金份额的冻结、解冻和质押</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基金登记机构只受理国家有权机关依法要求的基金份额的冻结与解冻，以及登记机构认可、符合法律法规的其他情况下的冻结与解冻。</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基金份额被冻结的，被冻结部分产生的权益一并冻结，被冻结部分份额仍然参与收益分配。法律法规或监管机构另有规定的除外。</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如相关法律法规允许基金管理人办理基金份额的质押业务或其他基金业务，基金管理人将制定和实施相应的业务规则。</w:t>
      </w:r>
    </w:p>
    <w:p>
      <w:pPr>
        <w:autoSpaceDE/>
        <w:autoSpaceDN/>
        <w:spacing w:line="360" w:lineRule="auto"/>
        <w:ind w:right="141" w:rightChars="64" w:firstLine="480" w:firstLineChars="200"/>
        <w:jc w:val="both"/>
        <w:rPr>
          <w:rFonts w:hint="eastAsia" w:cstheme="minorBidi"/>
          <w:color w:val="000000" w:themeColor="text1"/>
          <w:kern w:val="2"/>
          <w:sz w:val="24"/>
          <w:szCs w:val="24"/>
          <w:lang w:val="en-US" w:bidi="ar-SA"/>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十七、实施侧袋机制期间本基金的申购与赎回</w:t>
      </w:r>
    </w:p>
    <w:p>
      <w:pPr>
        <w:autoSpaceDE/>
        <w:autoSpaceDN/>
        <w:spacing w:line="360" w:lineRule="auto"/>
        <w:ind w:right="141" w:rightChars="64" w:firstLine="480" w:firstLineChars="200"/>
        <w:jc w:val="both"/>
        <w:rPr>
          <w:rFonts w:hint="eastAsia"/>
          <w:color w:val="000000" w:themeColor="text1"/>
          <w:sz w:val="24"/>
          <w:szCs w:val="24"/>
          <w14:textFill>
            <w14:solidFill>
              <w14:schemeClr w14:val="tx1"/>
            </w14:solidFill>
          </w14:textFill>
        </w:rPr>
      </w:pPr>
      <w:r>
        <w:rPr>
          <w:rFonts w:hint="eastAsia" w:cstheme="minorBidi"/>
          <w:color w:val="000000" w:themeColor="text1"/>
          <w:kern w:val="2"/>
          <w:sz w:val="24"/>
          <w:szCs w:val="24"/>
          <w:lang w:val="en-US" w:bidi="ar-SA"/>
          <w14:textFill>
            <w14:solidFill>
              <w14:schemeClr w14:val="tx1"/>
            </w14:solidFill>
          </w14:textFill>
        </w:rPr>
        <w:t>本基金实施侧袋机制的，本基金的申购和赎回安排详见招募说明书或相关公告。</w:t>
      </w:r>
      <w:r>
        <w:rPr>
          <w:color w:val="000000" w:themeColor="text1"/>
          <w:sz w:val="24"/>
          <w:szCs w:val="24"/>
          <w:lang w:val="en-US"/>
          <w14:textFill>
            <w14:solidFill>
              <w14:schemeClr w14:val="tx1"/>
            </w14:solidFill>
          </w14:textFill>
        </w:rPr>
        <w:br w:type="page"/>
      </w:r>
    </w:p>
    <w:p>
      <w:pPr>
        <w:tabs>
          <w:tab w:val="left" w:pos="1505"/>
        </w:tabs>
        <w:spacing w:before="102"/>
        <w:ind w:right="238"/>
        <w:jc w:val="center"/>
        <w:outlineLvl w:val="0"/>
        <w:rPr>
          <w:rFonts w:hint="eastAsia"/>
          <w:b/>
          <w:bCs/>
          <w:color w:val="000000" w:themeColor="text1"/>
          <w:sz w:val="30"/>
          <w:szCs w:val="30"/>
          <w14:textFill>
            <w14:solidFill>
              <w14:schemeClr w14:val="tx1"/>
            </w14:solidFill>
          </w14:textFill>
        </w:rPr>
      </w:pPr>
      <w:bookmarkStart w:id="14" w:name="_Toc173413663"/>
      <w:r>
        <w:rPr>
          <w:b/>
          <w:bCs/>
          <w:color w:val="000000" w:themeColor="text1"/>
          <w:sz w:val="30"/>
          <w:szCs w:val="30"/>
          <w14:textFill>
            <w14:solidFill>
              <w14:schemeClr w14:val="tx1"/>
            </w14:solidFill>
          </w14:textFill>
        </w:rPr>
        <w:t>第七部分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基金合同当事人及权利义务</w:t>
      </w:r>
      <w:bookmarkEnd w:id="14"/>
    </w:p>
    <w:p>
      <w:pPr>
        <w:rPr>
          <w:rFonts w:hint="eastAsia"/>
          <w:b/>
          <w:color w:val="000000" w:themeColor="text1"/>
          <w:sz w:val="30"/>
          <w:szCs w:val="24"/>
          <w14:textFill>
            <w14:solidFill>
              <w14:schemeClr w14:val="tx1"/>
            </w14:solidFill>
          </w14:textFill>
        </w:rPr>
      </w:pP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一、基金管理人</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（一）基金管理人简况</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名称：中海基金管理有限公司</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住所：中国（上海）自由贸易试验区银城中路</w:t>
      </w:r>
      <w:r>
        <w:rPr>
          <w:bCs/>
          <w:color w:val="000000" w:themeColor="text1"/>
          <w:sz w:val="24"/>
          <w14:textFill>
            <w14:solidFill>
              <w14:schemeClr w14:val="tx1"/>
            </w14:solidFill>
          </w14:textFill>
        </w:rPr>
        <w:t>68号2905-2908室及30层</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法定代表人：曾杰</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设立日期：</w:t>
      </w:r>
      <w:r>
        <w:rPr>
          <w:bCs/>
          <w:color w:val="000000" w:themeColor="text1"/>
          <w:sz w:val="24"/>
          <w14:textFill>
            <w14:solidFill>
              <w14:schemeClr w14:val="tx1"/>
            </w14:solidFill>
          </w14:textFill>
        </w:rPr>
        <w:t>2004年3月18日</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批准设立机关及批准设立文号：中国证监会证监基金字【</w:t>
      </w:r>
      <w:r>
        <w:rPr>
          <w:bCs/>
          <w:color w:val="000000" w:themeColor="text1"/>
          <w:sz w:val="24"/>
          <w14:textFill>
            <w14:solidFill>
              <w14:schemeClr w14:val="tx1"/>
            </w14:solidFill>
          </w14:textFill>
        </w:rPr>
        <w:t>2004】24号</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组织形式：有限责任公司</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注册资本：</w:t>
      </w:r>
      <w:r>
        <w:rPr>
          <w:bCs/>
          <w:color w:val="000000" w:themeColor="text1"/>
          <w:sz w:val="24"/>
          <w14:textFill>
            <w14:solidFill>
              <w14:schemeClr w14:val="tx1"/>
            </w14:solidFill>
          </w14:textFill>
        </w:rPr>
        <w:t>1.466667亿元</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存续期限：持续经营</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联系电话：</w:t>
      </w:r>
      <w:r>
        <w:rPr>
          <w:bCs/>
          <w:color w:val="000000" w:themeColor="text1"/>
          <w:sz w:val="24"/>
          <w14:textFill>
            <w14:solidFill>
              <w14:schemeClr w14:val="tx1"/>
            </w14:solidFill>
          </w14:textFill>
        </w:rPr>
        <w:t>021-38429808</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（二）基金管理人的权利与义务</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1、根据《基金法》、《运作办法》及其他有关规定，基金管理人的权利包括但不限于：</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1）依法募集资金；</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2）自基金合同生效之日起，根据法律法规和基金合同独立运用并管理基金财产；</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3）依照基金合同收取基金管理费以及法律法规规定或中国证监会批准的其他费用；</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4）销售基金份额；</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5）按照规定召集基金份额持有人大会；</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7）在基金托管人更换时，提名新的基金托管人；</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8）依据基金合同及有关法律规定决定基金收益的分配方案；</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9）在基金合同约定的范围内，拒绝或暂停受理申购、赎回及转换申请；</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10）依照法律法规为基金的利益对被投资公司行使证券持有人权利，为基金的利益行使因基金财产投资所产生的其他权利；</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11）在法律法规允许的前提下，为基金的利益依法为基金进行融资；</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12）以基金管理人的名义，代表基金份额持有人的利益行使诉讼权利或者实施其他法律行为；</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13）选择、更换为本基金提供销售、支付结算、基金份额注册登记、估值、投资顾问、法律、会计</w:t>
      </w:r>
      <w:r>
        <w:rPr>
          <w:rFonts w:hint="eastAsia"/>
          <w:bCs/>
          <w:color w:val="000000" w:themeColor="text1"/>
          <w:sz w:val="24"/>
          <w14:textFill>
            <w14:solidFill>
              <w14:schemeClr w14:val="tx1"/>
            </w14:solidFill>
          </w14:textFill>
        </w:rPr>
        <w:t>、证券经纪商</w:t>
      </w:r>
      <w:r>
        <w:rPr>
          <w:bCs/>
          <w:color w:val="000000" w:themeColor="text1"/>
          <w:sz w:val="24"/>
          <w14:textFill>
            <w14:solidFill>
              <w14:schemeClr w14:val="tx1"/>
            </w14:solidFill>
          </w14:textFill>
        </w:rPr>
        <w:t>等</w:t>
      </w:r>
      <w:r>
        <w:rPr>
          <w:rFonts w:hint="eastAsia"/>
          <w:bCs/>
          <w:color w:val="000000" w:themeColor="text1"/>
          <w:sz w:val="24"/>
          <w14:textFill>
            <w14:solidFill>
              <w14:schemeClr w14:val="tx1"/>
            </w14:solidFill>
          </w14:textFill>
        </w:rPr>
        <w:t>其他为基金提供</w:t>
      </w:r>
      <w:r>
        <w:rPr>
          <w:bCs/>
          <w:color w:val="000000" w:themeColor="text1"/>
          <w:sz w:val="24"/>
          <w14:textFill>
            <w14:solidFill>
              <w14:schemeClr w14:val="tx1"/>
            </w14:solidFill>
          </w14:textFill>
        </w:rPr>
        <w:t>服务的机构并确定相关费率，对该等服务机构的相关行为进行监督和处理；</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14）在不违反法律法规的前提下，制订和调整有关基金开户、认购、申购、赎回、转换、定期定额投资、转托管和非交易过户及其他相关业务的业务规则；</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15）法律法规或中国证监会或基金合同规定的其他权利。</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2、根据《基金法》、《运作办法》及其他有关规定，基金管理人的义务包括但不限于：</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1）依法募集资金，办理或者委托经中国证监会认定的其他机构代为办理基金份额的发售、申购、赎回和登记事宜；</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2）办理基金备案手续；</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3）自基金合同生效之日起，以诚实信用、谨慎勤勉的原则管理和运用基金财产；</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4）配备足够的具有专业资格的人员进行基金投资分析、决策，以专业化的经营方式管理和运作基金财产；</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6）除依据《基金法》、基金合同及其他有关规定外，不得利用基金财产为自己及任何第三人谋取利益，不得委托第三人运作基金财产；</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7）依法接受基金托管人的监督；</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8）采取适当合理的措施使计算各类基金份额认购、申购、赎回和注销价格的方法符合基金合同等法律文件的规定，按有关规定计算并公告基金净值信息，确</w:t>
      </w:r>
      <w:r>
        <w:rPr>
          <w:rFonts w:hint="eastAsia"/>
          <w:bCs/>
          <w:color w:val="000000" w:themeColor="text1"/>
          <w:sz w:val="24"/>
          <w14:textFill>
            <w14:solidFill>
              <w14:schemeClr w14:val="tx1"/>
            </w14:solidFill>
          </w14:textFill>
        </w:rPr>
        <w:t>定各类基金份额申购、赎回的价格；</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9）进行基金会计核算并编制基金财务会计报告；</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10）按照法律规定要求编制季度报告、中期报告和年度报告；</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11）严格按照《基金法》、基金合同及其他有关规定，履行信息披露及报告义务；</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12）保守基金商业秘密，不泄露基金投资计划、投资意向等。除《基金法》、基金合同及其他有关规定另有规定或有权机关另有要求或向审计、法律等外部专业顾问提供外，在基金信息公开披露前应予保密，不向他人泄露；</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13）按基金合同的约定确定基金收益分配方案，及时向基金份额持有人分配基金收益；</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14）按规定受理申购与赎回申请，及时、足额支付赎回款项；</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15）依据《基金法》、基金合同及其他有关规定召集基金份额持有人大会或配合基金托管人、基金份额持有人依法召集基金份额持有人大会；</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16）按规定保存基金财产管理业务活动的会计账册、报表、记录和其他相关资料，保存期限不低于法律法规规定的最低年限；</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18）组织并参加基金财产清算小组，参与基金财产的保管、清理、估价、变现和分配；</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19）面临解散、依法被撤销或者被依法宣告破产时，及时报告中国证监会并通知基金托管人；</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20）因违反基金合同导致基金财产的损失或损害基金份额持有人合法权益时，应当承担赔偿责任，其赔偿责任不因其退任而免除；</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22）以基金管理人名义，代表基金份额持有人利益行使诉讼权利或实施其他法律行为；</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23）基金管理人在募集期满未能达到基金的备案条件，基金合同不能生效，基金管理人应当将已募集资金并加计银行同期活期存款利息在基金募集期结束后30日内退还基金认购人；</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24）执行生效的基金份额持有人大会的决议；</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25）建立并保存基金份额持有人名册；</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26）法律法规或中国证监会或基金合同规定的其他义务。</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二、基金托管人</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（一）基金托管人简况</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名称：国金证券股份有限公司</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注册地址：四川省成都市东城根上街95号</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办公地址：四川省成都市青羊区东城根上街95号13楼；上海市浦东新区芳甸路1088号18楼</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法定代表人：冉云</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成立时间：1996年12月20日</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基金托管资格批文及文号：证监许可〔2017〕990号</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注册资本：37.1255951亿元人民币 </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存续期间：持续经营</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（二）基金托管人的权利与义务</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1、根据《基金法》、《运作办法》及其他有关规定，基金托管人的权利包括</w:t>
      </w:r>
      <w:r>
        <w:rPr>
          <w:rFonts w:hint="eastAsia"/>
          <w:bCs/>
          <w:color w:val="000000" w:themeColor="text1"/>
          <w:sz w:val="24"/>
          <w14:textFill>
            <w14:solidFill>
              <w14:schemeClr w14:val="tx1"/>
            </w14:solidFill>
          </w14:textFill>
        </w:rPr>
        <w:t>但不限于：</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1）自基金合同生效之日起，依法律法规和基金合同的规定安全保管基金财产；</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2）依基金合同约定获得基金托管费以及法律法规规定或监管部门批准的其他费用；</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4）根据相关市场规则，为基金开设资金账户、证券账户等投资所需账户、为基金办理证券交易资金清算；</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5）提议召开或召集基金份额持有人大会；</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6）在基金管理人更换时，提名新的基金管理人；</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7）法律法规或中国证监会或基金合同规定的其他权利。</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2、根据《基金法》、《运作办法》及其他有关规定，基金托管人的义务包括但不限于：</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1）以诚实信用、勤勉尽责的原则持有并安全保管基金财产；</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2）设立专门的基金托管部门，具有符合要求的营业场所，配备足够的、合格的熟悉基金托管业务的专职人员，负责基金财产托管事宜；</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4）除依据《基金法》、基金合同及其他有关规定外，不得利用基金财产为自己及任何第三人谋取利益，不得委托第三人托管基金财产；</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5）保管由基金管理人代表基金签订的与基金有关的重大合同及有关凭证；</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6）按规定开设基金财产的资金账户和证券账户等投资所需账户，按照基金合同的约定，根据基金管理人的投资指令，及时办理清算、交割事宜；</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7）保守基金商业秘密，除《基金法》、基金合同</w:t>
      </w:r>
      <w:r>
        <w:rPr>
          <w:rFonts w:hint="eastAsia"/>
          <w:bCs/>
          <w:color w:val="000000" w:themeColor="text1"/>
          <w:sz w:val="24"/>
          <w14:textFill>
            <w14:solidFill>
              <w14:schemeClr w14:val="tx1"/>
            </w14:solidFill>
          </w14:textFill>
        </w:rPr>
        <w:t>、托管协议</w:t>
      </w:r>
      <w:r>
        <w:rPr>
          <w:bCs/>
          <w:color w:val="000000" w:themeColor="text1"/>
          <w:sz w:val="24"/>
          <w14:textFill>
            <w14:solidFill>
              <w14:schemeClr w14:val="tx1"/>
            </w14:solidFill>
          </w14:textFill>
        </w:rPr>
        <w:t>及其他有关规定另有规定或有权机关另有要求或向审计、法律等外部专业顾问提供外，在基金信息公开披露前予以保密，不得向他人泄露；</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8）复核、审查基金管理人计算的基金资产净值、</w:t>
      </w:r>
      <w:r>
        <w:rPr>
          <w:rFonts w:hint="eastAsia"/>
          <w:bCs/>
          <w:color w:val="000000" w:themeColor="text1"/>
          <w:sz w:val="24"/>
          <w14:textFill>
            <w14:solidFill>
              <w14:schemeClr w14:val="tx1"/>
            </w14:solidFill>
          </w14:textFill>
        </w:rPr>
        <w:t>各类</w:t>
      </w:r>
      <w:r>
        <w:rPr>
          <w:bCs/>
          <w:color w:val="000000" w:themeColor="text1"/>
          <w:sz w:val="24"/>
          <w14:textFill>
            <w14:solidFill>
              <w14:schemeClr w14:val="tx1"/>
            </w14:solidFill>
          </w14:textFill>
        </w:rPr>
        <w:t>基金份额净值、</w:t>
      </w:r>
      <w:r>
        <w:rPr>
          <w:rFonts w:hint="eastAsia"/>
          <w:bCs/>
          <w:color w:val="000000" w:themeColor="text1"/>
          <w:sz w:val="24"/>
          <w14:textFill>
            <w14:solidFill>
              <w14:schemeClr w14:val="tx1"/>
            </w14:solidFill>
          </w14:textFill>
        </w:rPr>
        <w:t>各类</w:t>
      </w:r>
      <w:r>
        <w:rPr>
          <w:bCs/>
          <w:color w:val="000000" w:themeColor="text1"/>
          <w:sz w:val="24"/>
          <w14:textFill>
            <w14:solidFill>
              <w14:schemeClr w14:val="tx1"/>
            </w14:solidFill>
          </w14:textFill>
        </w:rPr>
        <w:t>基金份额申购、赎回价格；</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9）办理与基金托管业务活动有关的信息披露事项；</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11）保存基金托管业务活动的记录、账册、报表和其他相关资料，保存期限不低于法律法规规定的最低年限；</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12）从基金管理人或其委托的登记机构处接收并保存基金份额持有人名册；</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13）按规定制作相关账册并与基金管理人核对；</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14）依据基金管理人的指令或有关规定向基金份额持有人支付基金收益和赎回款项；</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15）依据《基金法》、基金合同及其他有关规定，召集基金份额持有人大会或配合基金管理人、基金份额持有人依法召集基金份额持有人大会；</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16）按照法律法规</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基金合同</w:t>
      </w:r>
      <w:r>
        <w:rPr>
          <w:rFonts w:hint="eastAsia"/>
          <w:bCs/>
          <w:color w:val="000000" w:themeColor="text1"/>
          <w:sz w:val="24"/>
          <w14:textFill>
            <w14:solidFill>
              <w14:schemeClr w14:val="tx1"/>
            </w14:solidFill>
          </w14:textFill>
        </w:rPr>
        <w:t>和托管协议</w:t>
      </w:r>
      <w:r>
        <w:rPr>
          <w:bCs/>
          <w:color w:val="000000" w:themeColor="text1"/>
          <w:sz w:val="24"/>
          <w14:textFill>
            <w14:solidFill>
              <w14:schemeClr w14:val="tx1"/>
            </w14:solidFill>
          </w14:textFill>
        </w:rPr>
        <w:t>的规定监督基金管理人的投资运作；</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17）参加基金财产清算小组，参与基金财产的保管、清理、估价、变现和分配；</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18）面临解散、依法被撤销或者被依法宣告破产时，及时报告中国证监会，并通知基金管理人；</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19）因违反基金合同</w:t>
      </w:r>
      <w:r>
        <w:rPr>
          <w:rFonts w:hint="eastAsia"/>
          <w:bCs/>
          <w:color w:val="000000" w:themeColor="text1"/>
          <w:sz w:val="24"/>
          <w14:textFill>
            <w14:solidFill>
              <w14:schemeClr w14:val="tx1"/>
            </w14:solidFill>
          </w14:textFill>
        </w:rPr>
        <w:t>、托管协议</w:t>
      </w:r>
      <w:r>
        <w:rPr>
          <w:bCs/>
          <w:color w:val="000000" w:themeColor="text1"/>
          <w:sz w:val="24"/>
          <w14:textFill>
            <w14:solidFill>
              <w14:schemeClr w14:val="tx1"/>
            </w14:solidFill>
          </w14:textFill>
        </w:rPr>
        <w:t>导致基金财产损失时，应承担赔偿责任，其赔偿责任不因其退任而免除；</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20）按规定监督基金管理人按法律法规和基金合同规定履行自己的义务，基金管理人因违反基金合同造成基金财产损失时，应为基金份额持有人利益向基金管理人追偿；</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21）执行生效的基金份额持有人大会的决议；</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22）法律法规或中国证监会或基金合同规定的其他义务。</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三、基金份额持有人</w:t>
      </w:r>
    </w:p>
    <w:p>
      <w:pPr>
        <w:spacing w:line="360" w:lineRule="auto"/>
        <w:ind w:firstLine="482" w:firstLineChars="200"/>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除法律法规另有规定或基金合同另有约定外，</w:t>
      </w:r>
      <w:r>
        <w:rPr>
          <w:bCs/>
          <w:color w:val="000000" w:themeColor="text1"/>
          <w:sz w:val="24"/>
          <w14:textFill>
            <w14:solidFill>
              <w14:schemeClr w14:val="tx1"/>
            </w14:solidFill>
          </w14:textFill>
        </w:rPr>
        <w:t>同一类别</w:t>
      </w:r>
      <w:r>
        <w:rPr>
          <w:rFonts w:hint="eastAsia"/>
          <w:bCs/>
          <w:color w:val="000000" w:themeColor="text1"/>
          <w:sz w:val="24"/>
          <w14:textFill>
            <w14:solidFill>
              <w14:schemeClr w14:val="tx1"/>
            </w14:solidFill>
          </w14:textFill>
        </w:rPr>
        <w:t>的</w:t>
      </w:r>
      <w:r>
        <w:rPr>
          <w:bCs/>
          <w:color w:val="000000" w:themeColor="text1"/>
          <w:sz w:val="24"/>
          <w14:textFill>
            <w14:solidFill>
              <w14:schemeClr w14:val="tx1"/>
            </w14:solidFill>
          </w14:textFill>
        </w:rPr>
        <w:t>每份基金份额具有同等的合法权益。</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1、根据《基金法》、《运作办法》及其他有关规定，基金份额持有人的权利包括但不限于：</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1）分享基金财产收益；</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2）参与分配清算后的剩余基金财产；</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3）依法转让或者申请赎回其持有的基金份额；</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4）按照规定要求召开基金份额持有人大会或者召集基金份额持有人大会；</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5）出席或者委派代表出席基金份额持有人大会，对基金份额持有人大会审议事项行使表决权；</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6）查阅或者复制公开披露的基金信息资料；</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7）监督基金管理人的投资运作；</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8）对基金管理人、基金托管人、基金服务机构损害其合法权益的行为依法提起诉讼或仲裁；</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9）法律法规或中国证监会或基金合同规定的其他权利。</w:t>
      </w:r>
    </w:p>
    <w:p>
      <w:pPr>
        <w:spacing w:line="360" w:lineRule="auto"/>
        <w:ind w:firstLine="482" w:firstLineChars="200"/>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2、根据《基金法》、《运作办法》及其他有关规定，基金份额持有人的义务包括但不限于：</w:t>
      </w:r>
    </w:p>
    <w:p>
      <w:pPr>
        <w:spacing w:line="360" w:lineRule="auto"/>
        <w:ind w:firstLine="482" w:firstLineChars="200"/>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（1）认真阅读并遵守基金合同、招募说明书、基金产品资料概要、业务规则以及基金管理人按照规定就本基金发布的相关公告等信息披露文件；</w:t>
      </w:r>
    </w:p>
    <w:p>
      <w:pPr>
        <w:spacing w:line="360" w:lineRule="auto"/>
        <w:ind w:firstLine="482" w:firstLineChars="200"/>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（2）了解所投资基金产品，了解自身风险承受能力，自主判断基金的投资价值，自主做出投资决策，自行承担投资风险；</w:t>
      </w:r>
    </w:p>
    <w:p>
      <w:pPr>
        <w:spacing w:line="360" w:lineRule="auto"/>
        <w:ind w:firstLine="482" w:firstLineChars="200"/>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（3）关注基金信息披露，及时行使权利和履行义务；</w:t>
      </w:r>
    </w:p>
    <w:p>
      <w:pPr>
        <w:spacing w:line="360" w:lineRule="auto"/>
        <w:ind w:firstLine="482" w:firstLineChars="200"/>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（4）交纳基金认购、申购款项及法律法规和基金合同所规定的费用；</w:t>
      </w:r>
    </w:p>
    <w:p>
      <w:pPr>
        <w:spacing w:line="360" w:lineRule="auto"/>
        <w:ind w:firstLine="482" w:firstLineChars="200"/>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（5）在其持有的基金份额范围内，承担基金亏损或者基金合同终止的有限责任；</w:t>
      </w:r>
    </w:p>
    <w:p>
      <w:pPr>
        <w:spacing w:line="360" w:lineRule="auto"/>
        <w:ind w:firstLine="482" w:firstLineChars="200"/>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（6）不从事任何有损基金及其他基金合同当事人合法权益的活动；</w:t>
      </w:r>
    </w:p>
    <w:p>
      <w:pPr>
        <w:spacing w:line="360" w:lineRule="auto"/>
        <w:ind w:firstLine="482" w:firstLineChars="200"/>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（7）执行生效的基金份额持有人大会的决议；</w:t>
      </w:r>
    </w:p>
    <w:p>
      <w:pPr>
        <w:spacing w:line="360" w:lineRule="auto"/>
        <w:ind w:firstLine="482" w:firstLineChars="200"/>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（8）返还在基金交易过程中因任何原因获得的不当得利；</w:t>
      </w:r>
    </w:p>
    <w:p>
      <w:pPr>
        <w:spacing w:line="360" w:lineRule="auto"/>
        <w:ind w:firstLine="482" w:firstLineChars="200"/>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（9）如实提供基金管理人或其销售机构依法要求提供的信息，并不时予以更新和补充；</w:t>
      </w:r>
    </w:p>
    <w:p>
      <w:pPr>
        <w:spacing w:line="360" w:lineRule="auto"/>
        <w:ind w:firstLine="482" w:firstLineChars="200"/>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（10）法律法规或中国证监会或基金合同规定的其他义务。</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1504"/>
        </w:tabs>
        <w:spacing w:before="102"/>
        <w:ind w:right="237"/>
        <w:jc w:val="center"/>
        <w:outlineLvl w:val="0"/>
        <w:rPr>
          <w:rFonts w:hint="eastAsia"/>
          <w:b/>
          <w:bCs/>
          <w:color w:val="000000" w:themeColor="text1"/>
          <w:sz w:val="30"/>
          <w:szCs w:val="30"/>
          <w14:textFill>
            <w14:solidFill>
              <w14:schemeClr w14:val="tx1"/>
            </w14:solidFill>
          </w14:textFill>
        </w:rPr>
      </w:pPr>
      <w:bookmarkStart w:id="15" w:name="_Toc173413664"/>
      <w:r>
        <w:rPr>
          <w:b/>
          <w:bCs/>
          <w:color w:val="000000" w:themeColor="text1"/>
          <w:sz w:val="30"/>
          <w:szCs w:val="30"/>
          <w14:textFill>
            <w14:solidFill>
              <w14:schemeClr w14:val="tx1"/>
            </w14:solidFill>
          </w14:textFill>
        </w:rPr>
        <w:t>第八部分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基金份额持有人大会</w:t>
      </w:r>
      <w:bookmarkEnd w:id="15"/>
    </w:p>
    <w:p>
      <w:pPr>
        <w:spacing w:before="3"/>
        <w:rPr>
          <w:rFonts w:hint="eastAsia"/>
          <w:b/>
          <w:color w:val="000000" w:themeColor="text1"/>
          <w:szCs w:val="24"/>
          <w14:textFill>
            <w14:solidFill>
              <w14:schemeClr w14:val="tx1"/>
            </w14:solidFill>
          </w14:textFill>
        </w:rPr>
      </w:pP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持有人大会由基金份额持有人组成，基金份额持有人的合法授权代表有权代表基金份额持有人出席会议并表决。就本部分所述基金份额持有人大会事宜，除法律法规另有规定或本基金合同另有约定外，基金份额持有人持有的每一基金份额拥有平等的权利。</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本基金份额持有人大会不设日常机构。</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若将来法律法规对基金份额持有人大会另有规定的，以届时有效的法律法规为准。</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一、召开事由</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1、除法律法规或中国证监会或基金合同另有规定外，当需要决定下列事由之一的，应当召开基金份额持有人大会：</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1）终止基金合同；</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2）更换基金管理人；</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3）更换基金托管人；</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4）转换基金运作方式；</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5）调</w:t>
      </w:r>
      <w:r>
        <w:rPr>
          <w:rFonts w:hint="eastAsia"/>
          <w:bCs/>
          <w:color w:val="000000" w:themeColor="text1"/>
          <w:sz w:val="24"/>
          <w14:textFill>
            <w14:solidFill>
              <w14:schemeClr w14:val="tx1"/>
            </w14:solidFill>
          </w14:textFill>
        </w:rPr>
        <w:t>整</w:t>
      </w:r>
      <w:r>
        <w:rPr>
          <w:bCs/>
          <w:color w:val="000000" w:themeColor="text1"/>
          <w:sz w:val="24"/>
          <w14:textFill>
            <w14:solidFill>
              <w14:schemeClr w14:val="tx1"/>
            </w14:solidFill>
          </w14:textFill>
        </w:rPr>
        <w:t>基金管理人、基金托管人的报酬标准、提高销售服务费</w:t>
      </w:r>
      <w:r>
        <w:rPr>
          <w:rFonts w:hint="eastAsia"/>
          <w:bCs/>
          <w:color w:val="000000" w:themeColor="text1"/>
          <w:sz w:val="24"/>
          <w14:textFill>
            <w14:solidFill>
              <w14:schemeClr w14:val="tx1"/>
            </w14:solidFill>
          </w14:textFill>
        </w:rPr>
        <w:t>率</w:t>
      </w:r>
      <w:r>
        <w:rPr>
          <w:bCs/>
          <w:color w:val="000000" w:themeColor="text1"/>
          <w:sz w:val="24"/>
          <w14:textFill>
            <w14:solidFill>
              <w14:schemeClr w14:val="tx1"/>
            </w14:solidFill>
          </w14:textFill>
        </w:rPr>
        <w:t>，但法律法规要求调整该等报酬标准或提高销售服务费率的除外；</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6）变更基金类别；</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7）本基金与其他基金的合并；</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8）变更基金投资目标、范围或策略；</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9）变更基金份额持有人大会程序；</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10）基金管理人或基金托管人要求召开基金份额持有人大会；</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11）单独或合计持有本基金总份额10%以上（含10%）基金份额的基金份额持有人（以基金管理人收到提议当日的基金份额计算，下同）就同一事项书面要求召开基金份额持有人大会；</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12）对基金合同当事人权利和义务产生重大影响的其他事项；</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13）法律法规或基金合同或中国证监会规定的其他应当召开基金份额持有人大会的事项。</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2、在不违反法律法规有关规定和监管要求并对基金份额持有人利益无实质性不利影响的前提下，以下情况可由基金管理人和基金托管人协商后修改，不需召开基金份额持有人大会：</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1）法律法规要求增加的基金费用的收取；</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2）在基金合同规定的范围内，且对基金份额持有人利益无实质性不利影响的前提下，调整本基金的申购费率、销售服务费率或变更收费方式、调整本基金的基金份额类别的设置；</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3）因相应的法律法规发生变动而应当对基金合同进行修改；</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4）对基金合同的修改对基金份额持有人利益无实质性不利影响或修改不涉及基金合同当事人权利义务关系发生重大变化；</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5）基金管理人、登记机构、销售机构在法律法规和中国证监会规定范围内调整有关基金认购、申购、赎回、转换、非交易过户、转托管等业务的规则；</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6）对基金份额持有人利益无实质性不利影响的情况下，</w:t>
      </w:r>
      <w:r>
        <w:rPr>
          <w:rFonts w:hint="eastAsia"/>
          <w:bCs/>
          <w:color w:val="000000" w:themeColor="text1"/>
          <w:sz w:val="24"/>
          <w14:textFill>
            <w14:solidFill>
              <w14:schemeClr w14:val="tx1"/>
            </w14:solidFill>
          </w14:textFill>
        </w:rPr>
        <w:t>履行适当程序后，</w:t>
      </w:r>
      <w:r>
        <w:rPr>
          <w:bCs/>
          <w:color w:val="000000" w:themeColor="text1"/>
          <w:sz w:val="24"/>
          <w14:textFill>
            <w14:solidFill>
              <w14:schemeClr w14:val="tx1"/>
            </w14:solidFill>
          </w14:textFill>
        </w:rPr>
        <w:t>基金推出新业务或服务；</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7）按照法律法规和基金合同规定不需召开基金份额持有人大会的其他情形。</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二、会议召集人及召集方式</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1、除法律法规规定或基金合同另有约定外，基金份额持有人大会由基金管理人召集。</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2、基金管理人未按规定召集或不能召</w:t>
      </w:r>
      <w:r>
        <w:rPr>
          <w:rFonts w:hint="eastAsia"/>
          <w:bCs/>
          <w:color w:val="000000" w:themeColor="text1"/>
          <w:sz w:val="24"/>
          <w14:textFill>
            <w14:solidFill>
              <w14:schemeClr w14:val="tx1"/>
            </w14:solidFill>
          </w14:textFill>
        </w:rPr>
        <w:t>集</w:t>
      </w:r>
      <w:r>
        <w:rPr>
          <w:bCs/>
          <w:color w:val="000000" w:themeColor="text1"/>
          <w:sz w:val="24"/>
          <w14:textFill>
            <w14:solidFill>
              <w14:schemeClr w14:val="tx1"/>
            </w14:solidFill>
          </w14:textFill>
        </w:rPr>
        <w:t>时，由基金托管人召集。</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4、代表基金份额10%以上（含10%，以基金管理人收到提议当日的基金份额计算，下同）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的基金份额持有人仍认为有必要召开的，应当向基金托管人提出书面提议。基金托管人应当自收到书面提议之日起10日内决定是否</w:t>
      </w:r>
      <w:r>
        <w:rPr>
          <w:rFonts w:hint="eastAsia"/>
          <w:bCs/>
          <w:color w:val="000000" w:themeColor="text1"/>
          <w:sz w:val="24"/>
          <w14:textFill>
            <w14:solidFill>
              <w14:schemeClr w14:val="tx1"/>
            </w14:solidFill>
          </w14:textFill>
        </w:rPr>
        <w:t>召集，并书面告知提出提议的基金份额持有人代表和基金管理人；基金托管人决定召集的，应当自出具书面决定之日起</w:t>
      </w:r>
      <w:r>
        <w:rPr>
          <w:bCs/>
          <w:color w:val="000000" w:themeColor="text1"/>
          <w:sz w:val="24"/>
          <w14:textFill>
            <w14:solidFill>
              <w14:schemeClr w14:val="tx1"/>
            </w14:solidFill>
          </w14:textFill>
        </w:rPr>
        <w:t>60日内召开，并告知基金管理人，基金管理人应当配合。</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5、代表基金份额10%以上的基金份额持有人就同一事项要求召开基金份额持有人大会，而基金管理人、基金托管人都不召集的，单独或合计代表基金份额10%以上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6、基金份额持有人大会的召集人负责选择确定开会时间、地点、方式和权益登记日。</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三、召开基金份额持有人大会的通知时间、通知内容、通知方式</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1、召开基金份额持有人大会，召集人应于会议召开前至少30日，按照《信息披露办法》的规定在规定媒介公告会议通知。基金份额持有人大会通知应至少载明以下内容：</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1）会议召开的时间、地点和会议形式；</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2）会议拟审议的事项、议事程序和表决方式；</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3）有权出席基金份额持有人大会的基金份额持有人的权益登记日；</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4）授权委托证明的内容要求（包括但不限于代理人身份，代理权限和代理有效期限等）、授权方式（包括但不限于纸质授权、电话授权、短信授权及网络授权方式等）、送达时间和地点；</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5）会务常设联系人姓名及联系电话；</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6）出席会议者必须准备的文件和必须履行的手续；</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7）召集人需要通知的其他事项。</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采取通讯开会方式并进行表决的情况下，由会议召集人决定在会议通知中说明本次基金份额持有人大会所采取的具体通讯方式、投票方式（包括但不限于以纸质表决票投票、网络投票及短信投票等）、委托的公证机关及其联系方式和联系人、表决意见送达的截止时间和收取方式。</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四、基金份额持有人出席会议的方式</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基金份额持有人大会可通过现场开会方式、通讯开会方式或法律法规、监管机构、基金合同允许的其他方式召开，会议的召开方式由会议召集人确定。</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2、通讯开会。通讯开会系指基金份额持有人将其对审议事项的表决意见以书面形式或</w:t>
      </w:r>
      <w:r>
        <w:rPr>
          <w:rFonts w:hint="eastAsia"/>
          <w:bCs/>
          <w:color w:val="000000" w:themeColor="text1"/>
          <w:sz w:val="24"/>
          <w14:textFill>
            <w14:solidFill>
              <w14:schemeClr w14:val="tx1"/>
            </w14:solidFill>
          </w14:textFill>
        </w:rPr>
        <w:t>会议通知载明</w:t>
      </w:r>
      <w:r>
        <w:rPr>
          <w:bCs/>
          <w:color w:val="000000" w:themeColor="text1"/>
          <w:sz w:val="24"/>
          <w14:textFill>
            <w14:solidFill>
              <w14:schemeClr w14:val="tx1"/>
            </w14:solidFill>
          </w14:textFill>
        </w:rPr>
        <w:t>的其他方式在收取表决意见截止时间以前送达召集人指定的地址或系统。通讯开会应以书面方式或基金合同约定的</w:t>
      </w:r>
      <w:r>
        <w:rPr>
          <w:rFonts w:hint="eastAsia"/>
          <w:bCs/>
          <w:color w:val="000000" w:themeColor="text1"/>
          <w:sz w:val="24"/>
          <w14:textFill>
            <w14:solidFill>
              <w14:schemeClr w14:val="tx1"/>
            </w14:solidFill>
          </w14:textFill>
        </w:rPr>
        <w:t>或会议通知载明的</w:t>
      </w:r>
      <w:r>
        <w:rPr>
          <w:bCs/>
          <w:color w:val="000000" w:themeColor="text1"/>
          <w:sz w:val="24"/>
          <w14:textFill>
            <w14:solidFill>
              <w14:schemeClr w14:val="tx1"/>
            </w14:solidFill>
          </w14:textFill>
        </w:rPr>
        <w:t>其他方式进行表决。</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在同时符合以下条件时，通讯开会的方式视为有效：</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1）会议召集人按基金合同约定公布会议通知后，在2个工作日内连续公布相关提示性公告；</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统计基金份额持有人的表决意见；基金托管人或基金管理人经通知不参与表决意见统计的，不影响表决效力；</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应符合法律法规、基金合同和会议通知的规定，并与基金登记机构记录相符。</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3、在不与法律法规冲突的前提下，基金份额持有人大会可通过网络、电话或其他</w:t>
      </w:r>
      <w:bookmarkStart w:id="16" w:name="OLE_LINK3"/>
      <w:r>
        <w:rPr>
          <w:rFonts w:hint="eastAsia"/>
          <w:bCs/>
          <w:color w:val="000000" w:themeColor="text1"/>
          <w:sz w:val="24"/>
          <w14:textFill>
            <w14:solidFill>
              <w14:schemeClr w14:val="tx1"/>
            </w14:solidFill>
          </w14:textFill>
        </w:rPr>
        <w:t>非现场方式或者以现场与非现场相结合的</w:t>
      </w:r>
      <w:bookmarkEnd w:id="16"/>
      <w:r>
        <w:rPr>
          <w:bCs/>
          <w:color w:val="000000" w:themeColor="text1"/>
          <w:sz w:val="24"/>
          <w14:textFill>
            <w14:solidFill>
              <w14:schemeClr w14:val="tx1"/>
            </w14:solidFill>
          </w14:textFill>
        </w:rPr>
        <w:t>方式召开，基金份额持有人可以采用书面、网络、电话、短信或其他方式进行表决，具体方式由会议召集人确定并在会议通知中列明。</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4、基金份额持有人授权他人代为出席会议并表决的，授权方式可以采用书面、网络、电话、短信或其他方式，具体方式在会议通知中列明。</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五、议事内容与程序</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1、议事内容及提案权</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议事内容为本部分“一、召开事由”中所述应由基金份额持有人大会审议决定的事项。</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基金份额持有人大会的召集人发出召集会议的通知后，对原有议事内容的修改应当在基金份额持有人大会召开前及时公告。</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基金份额持有人大会不得对未事先公告的议事内容进行表决。</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2、议事程序</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1）现场开会</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在现场开会的方式下，首先由大会主持人按照下列第七条规定程序确定和公布计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color w:val="000000" w:themeColor="text1"/>
          <w:sz w:val="24"/>
          <w14:textFill>
            <w14:solidFill>
              <w14:schemeClr w14:val="tx1"/>
            </w14:solidFill>
          </w14:textFill>
        </w:rPr>
        <w:t>50%以上（含50%）选举产生一名基金份额持有人作为该次基金份额持有人大会的主持人。基金管理人和基金托管人拒不出席或主持基金份额持有人大会，不影</w:t>
      </w:r>
      <w:r>
        <w:rPr>
          <w:rFonts w:hint="eastAsia"/>
          <w:bCs/>
          <w:color w:val="000000" w:themeColor="text1"/>
          <w:sz w:val="24"/>
          <w14:textFill>
            <w14:solidFill>
              <w14:schemeClr w14:val="tx1"/>
            </w14:solidFill>
          </w14:textFill>
        </w:rPr>
        <w:t>响基金份额持有人大会作出的决议的效力。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2）通讯开会</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在通讯开会的情况下，首先由召集人在收取会议审议事项表决意见截止时间前至少提前</w:t>
      </w:r>
      <w:r>
        <w:rPr>
          <w:bCs/>
          <w:color w:val="000000" w:themeColor="text1"/>
          <w:sz w:val="24"/>
          <w14:textFill>
            <w14:solidFill>
              <w14:schemeClr w14:val="tx1"/>
            </w14:solidFill>
          </w14:textFill>
        </w:rPr>
        <w:t>30日公布提案，在所通知的收取表决意见截止日期后2个工作日内在公证机关监督下由召集人统计全部有效表决，在公证机关监督下形成决议。</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六、表决</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基金份额持有人所持每份基金份额有一票表决权。</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基金份额持有人大会决议分为一般决议和特别决议：</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2、特别决议，特别决议应当经参加大会的基金份额持有人或其代理人所持表决权的三分之二以上（含三分之二）通过方可做出。除法律法规</w:t>
      </w:r>
      <w:r>
        <w:rPr>
          <w:rFonts w:hint="eastAsia"/>
          <w:bCs/>
          <w:color w:val="000000" w:themeColor="text1"/>
          <w:sz w:val="24"/>
          <w14:textFill>
            <w14:solidFill>
              <w14:schemeClr w14:val="tx1"/>
            </w14:solidFill>
          </w14:textFill>
        </w:rPr>
        <w:t>、监管机构另有规定</w:t>
      </w:r>
      <w:r>
        <w:rPr>
          <w:bCs/>
          <w:color w:val="000000" w:themeColor="text1"/>
          <w:sz w:val="24"/>
          <w14:textFill>
            <w14:solidFill>
              <w14:schemeClr w14:val="tx1"/>
            </w14:solidFill>
          </w14:textFill>
        </w:rPr>
        <w:t>或基金合同另有约定外，转换基金运作方式、更换基金管理人或者基金托管人、终止基金合同、本基金与其他基金合并以特别决议通过方为有效。</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基金份额持有人大会采取记名方式进行投票表决。</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采取通讯方式进行表决时，除非在计票时监督员及公证机关均有充分的相反证据证明，否则提交符合会议通知中规定的确认投资者身份文件的投资者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基金份额持有人大会的各项提案或同一项提案内并列的各项议题应当分开审议、逐项表决。</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七、计票</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1、现场开会</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如大会由基金管理人或基金托管人召集，基金份额持有人大会的主持人应当在会议开始后宣布在出席会议的基金份额持有人和代理人中选举两名基金份额持有人代表与大会召集人授权的一名人士共同担任计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计票人。基金管理人或基金托管人不出席大会的，不影响计票的效力。</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1）计票人应当在基金份额持有人表决后立即进行清点并由大会主持人当场公布计票结果</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2）如果会议主持人或基金份额持有人或代理人对于提交的表决结果有异议，可以在宣布表决结果后立即要求对所投票数进行重新清点。计票人应当进行重新清点，重新清点以一次为限。重新清点后，大会主持人应当当场公布重新清点结果</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3）计票过程应由公证机关予以公证，基金管理人或基金托管人拒不出席大会的，不影响计票的效力。</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2、通讯开会</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在通讯开会的情况下，计票方式为：由大会召集人授权的两名人士在基金托管人授权代表（若由基金托管人召集，则为基金管理人授权代表）的监督下进行计票，并由公证机关对计票过程予以公证。基金管理人或基金托管人拒不派代表对表决意见的计票进行监督的，不影响计票和表决结果。</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八、生效与公告</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基金份额持有人大会的决议，召集人应当自通过之日起</w:t>
      </w:r>
      <w:r>
        <w:rPr>
          <w:bCs/>
          <w:color w:val="000000" w:themeColor="text1"/>
          <w:sz w:val="24"/>
          <w14:textFill>
            <w14:solidFill>
              <w14:schemeClr w14:val="tx1"/>
            </w14:solidFill>
          </w14:textFill>
        </w:rPr>
        <w:t>5日内报中国证监会备案。</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基金份额持有人大会的决议自表决通过之日起生效。该表决通过之日为基金份额持有人大会计票完成且计票结果符合法律法规和基金合同规定的决议通过条件之日。</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基金份额持有人大会决议生效后应按照《信息披露办法》的规定在规定媒介上公告。</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九、实施侧袋机制期间基金份额持有人大会的特殊约定</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1、基金份额持有人行使提议权、召集权、提名权需单独或合计代表相关基金份额10%以上（含10%）</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2、现场开会的到会者在权益登记日代表的基金份额不少于本基金在权益登记日相关基金份额的二分之一（含二分之一）</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3、通讯开会的直接出具表决意见或授权他人代表出具表决意见的基金份额持有人所持有的基金份额不小于在权益登记日相关基金份额的二分之一（含二分之一）</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w:t>
      </w:r>
      <w:r>
        <w:rPr>
          <w:rFonts w:hint="eastAsia"/>
          <w:bCs/>
          <w:color w:val="000000" w:themeColor="text1"/>
          <w:sz w:val="24"/>
          <w:lang w:val="en-US"/>
          <w14:textFill>
            <w14:solidFill>
              <w14:schemeClr w14:val="tx1"/>
            </w14:solidFill>
          </w14:textFill>
        </w:rPr>
        <w:t>权益登记日基金份额总数</w:t>
      </w:r>
      <w:r>
        <w:rPr>
          <w:bCs/>
          <w:color w:val="000000" w:themeColor="text1"/>
          <w:sz w:val="24"/>
          <w14:textFill>
            <w14:solidFill>
              <w14:schemeClr w14:val="tx1"/>
            </w14:solidFill>
          </w14:textFill>
        </w:rPr>
        <w:t>三分之一以上（含三分之一）相关基金份额的持有人参与或授权他人参与基金份额持有人大会投票</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5、现场开会由出席大会的基金份额持有人和代理人所持表决权的50%以上（含50%）选举产生一名基金份额持有人作为该次基金份额持有人大会的主持人</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6、一般决议须经参加大会的基金份额持有人或其代理人所持表决权的二分之一以上（含二分之一）通过</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7、特别决议应当经参加大会的基金份额持有人或其代理人所持表决权的三分之二以上（含三分之二）通过。</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侧袋机制实施期间，关于基金份额持有人大会的相关规定以本节特殊约定内容为准，本节未有特殊约定的适用本节其他相关约定。</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2163"/>
        </w:tabs>
        <w:spacing w:before="102"/>
        <w:ind w:left="658"/>
        <w:outlineLvl w:val="0"/>
        <w:rPr>
          <w:rFonts w:hint="eastAsia"/>
          <w:b/>
          <w:bCs/>
          <w:color w:val="000000" w:themeColor="text1"/>
          <w:sz w:val="30"/>
          <w:szCs w:val="30"/>
          <w14:textFill>
            <w14:solidFill>
              <w14:schemeClr w14:val="tx1"/>
            </w14:solidFill>
          </w14:textFill>
        </w:rPr>
      </w:pPr>
      <w:bookmarkStart w:id="17" w:name="_Toc173413665"/>
      <w:r>
        <w:rPr>
          <w:b/>
          <w:bCs/>
          <w:color w:val="000000" w:themeColor="text1"/>
          <w:sz w:val="30"/>
          <w:szCs w:val="30"/>
          <w14:textFill>
            <w14:solidFill>
              <w14:schemeClr w14:val="tx1"/>
            </w14:solidFill>
          </w14:textFill>
        </w:rPr>
        <w:t>第九部分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基金管理人、基金托管人的更换条件和程序</w:t>
      </w:r>
      <w:bookmarkEnd w:id="17"/>
    </w:p>
    <w:p>
      <w:pPr>
        <w:rPr>
          <w:rFonts w:hint="eastAsia"/>
          <w:b/>
          <w:color w:val="000000" w:themeColor="text1"/>
          <w:sz w:val="30"/>
          <w:szCs w:val="24"/>
          <w14:textFill>
            <w14:solidFill>
              <w14:schemeClr w14:val="tx1"/>
            </w14:solidFill>
          </w14:textFill>
        </w:rPr>
      </w:pP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一、基金管理人和基金托管人职责终止的情形</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（一）基金管理人职责终止的情形</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有下列情形之一的，基金管理人职责终止：</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1、被依法取消基金管理资格</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2、被基金份额持有人大会解任</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3、依法解散、被依法撤销或被依法宣告破产</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4、法律法规及中国证监会规定的和基金合同约定的其他情形。</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（二）基金托管人职责终止的情形</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有下列情形之一的，基金托管人职责终止：</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1、被依法取消基金托管资格</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2、被基金份额持有人大会解任</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3、依法解散、被依法撤销或被依法宣告破产</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4、法律法规及中国证监会规定的和基金合同约定的其他情形。</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二、基金管理人和基金托管人的更换程序</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（一）基金管理人的更换程序</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1、提名：新任基金管理人由基金托管人或由单独或合计持有10%以上（含10%）基金份额的基金份额持有人提名</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3、临时基金管理人：新任基金管理人产生之前，由中国证监会指定临时基金管理人</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4、备案：基金份额持有人大会更换基金管理人的决议须报中国证监会备案</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5、公告：基金管理人更换后，由基金托管人在更换基金管理人的基金份额持有人大会决议生效后</w:t>
      </w:r>
      <w:bookmarkStart w:id="18" w:name="_Hlk202194415"/>
      <w:r>
        <w:rPr>
          <w:bCs/>
          <w:color w:val="000000" w:themeColor="text1"/>
          <w:sz w:val="24"/>
          <w14:textFill>
            <w14:solidFill>
              <w14:schemeClr w14:val="tx1"/>
            </w14:solidFill>
          </w14:textFill>
        </w:rPr>
        <w:t>依照《信息披露办法》的有关规定</w:t>
      </w:r>
      <w:bookmarkEnd w:id="18"/>
      <w:r>
        <w:rPr>
          <w:bCs/>
          <w:color w:val="000000" w:themeColor="text1"/>
          <w:sz w:val="24"/>
          <w14:textFill>
            <w14:solidFill>
              <w14:schemeClr w14:val="tx1"/>
            </w14:solidFill>
          </w14:textFill>
        </w:rPr>
        <w:t>在规定媒介公告</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6、交接：基金管理人职责终止的，基金管理人应妥善保管基金管理业务资料，及时向临时基金管理人或新任基金管理人办理基金管理业务的移交手续，临时基金管理人或新任基金管理人应及时接收。新任基金管理人</w:t>
      </w:r>
      <w:bookmarkStart w:id="19" w:name="_Hlk202194457"/>
      <w:r>
        <w:rPr>
          <w:bCs/>
          <w:color w:val="000000" w:themeColor="text1"/>
          <w:sz w:val="24"/>
          <w14:textFill>
            <w14:solidFill>
              <w14:schemeClr w14:val="tx1"/>
            </w14:solidFill>
          </w14:textFill>
        </w:rPr>
        <w:t>或临时基金管理人</w:t>
      </w:r>
      <w:bookmarkEnd w:id="19"/>
      <w:r>
        <w:rPr>
          <w:bCs/>
          <w:color w:val="000000" w:themeColor="text1"/>
          <w:sz w:val="24"/>
          <w14:textFill>
            <w14:solidFill>
              <w14:schemeClr w14:val="tx1"/>
            </w14:solidFill>
          </w14:textFill>
        </w:rPr>
        <w:t>应与基金托管人核对基金资产总值和净值</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7、审计：基金管理人职责终止的，应当按照法律法规规定聘请会计师事务所对基金财产进行审计，并将审计结果予以公告，同时报中国证监会备案，审计费用从基金财产中列支</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8、基金名称变更：基金管理人更换后，如果原任或新任基金管理人要求，应按其要求替换或删除基金名称中与原基金管理人有关的名称字样。</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（二）基金托管人的更换程序</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1、提名：新任基金托管人由基金管理人或由单独或合计持有10%以上（含10%）基金份额的基金份额持有人提名</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3、临时基金托管人：新任基金托管人产生之前，由中国证监会指定临时基金托管人</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4、备案：基金份额持有人大会更换基金托管人的决议须报中国证监会备案</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5、公告：基金托管人更换后，由基金管理人在更换基金托管人的基金份额持有人大会决议生效后</w:t>
      </w:r>
      <w:bookmarkStart w:id="20" w:name="_Hlk202194622"/>
      <w:r>
        <w:rPr>
          <w:bCs/>
          <w:color w:val="000000" w:themeColor="text1"/>
          <w:sz w:val="24"/>
          <w14:textFill>
            <w14:solidFill>
              <w14:schemeClr w14:val="tx1"/>
            </w14:solidFill>
          </w14:textFill>
        </w:rPr>
        <w:t>依照《信息披露办法》的有关规定</w:t>
      </w:r>
      <w:bookmarkEnd w:id="20"/>
      <w:r>
        <w:rPr>
          <w:bCs/>
          <w:color w:val="000000" w:themeColor="text1"/>
          <w:sz w:val="24"/>
          <w14:textFill>
            <w14:solidFill>
              <w14:schemeClr w14:val="tx1"/>
            </w14:solidFill>
          </w14:textFill>
        </w:rPr>
        <w:t>在规定媒介公告</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6、交接：基金托管人职责终止的，应当妥善保管基金财产和基金托管业务资料，及时办理基金财产和基金托管业务的移交手续，新任基金托管人或者临时基金托管人应当及时接收。新任基金托管人</w:t>
      </w:r>
      <w:bookmarkStart w:id="21" w:name="_Hlk202194658"/>
      <w:r>
        <w:rPr>
          <w:bCs/>
          <w:color w:val="000000" w:themeColor="text1"/>
          <w:sz w:val="24"/>
          <w14:textFill>
            <w14:solidFill>
              <w14:schemeClr w14:val="tx1"/>
            </w14:solidFill>
          </w14:textFill>
        </w:rPr>
        <w:t>或临时基金托管人</w:t>
      </w:r>
      <w:bookmarkEnd w:id="21"/>
      <w:r>
        <w:rPr>
          <w:bCs/>
          <w:color w:val="000000" w:themeColor="text1"/>
          <w:sz w:val="24"/>
          <w14:textFill>
            <w14:solidFill>
              <w14:schemeClr w14:val="tx1"/>
            </w14:solidFill>
          </w14:textFill>
        </w:rPr>
        <w:t>应与基金管理人核对基金资产总值和净值</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7、审计：基金托管人职责终止的，应当按照法律法规规定聘请会计师事务所对基金财产进行审计，并将审计结果予以公告，同时报中国证监会备案，审计费用从基金财产中列支。</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（三）基金管理人与基金托管人同时更换的条件和程序</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1、提名：如果基金管理人和基金托管人同时更换，由单独或合计持有基金总份额10%以上（含10%）的基金份额持有人提名新的基金管理人和基金托管人</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2、基金管理人和基金托管人的更换分别按上述程序进行</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3、公告：新任基金管理人和新任基金托管人应在更换基金管理人和基金托管人的基金份额持有人大会决议生效后</w:t>
      </w:r>
      <w:bookmarkStart w:id="22" w:name="_Hlk202194742"/>
      <w:r>
        <w:rPr>
          <w:bCs/>
          <w:color w:val="000000" w:themeColor="text1"/>
          <w:sz w:val="24"/>
          <w14:textFill>
            <w14:solidFill>
              <w14:schemeClr w14:val="tx1"/>
            </w14:solidFill>
          </w14:textFill>
        </w:rPr>
        <w:t>依照《信息披露办法》的有关规定</w:t>
      </w:r>
      <w:bookmarkEnd w:id="22"/>
      <w:r>
        <w:rPr>
          <w:bCs/>
          <w:color w:val="000000" w:themeColor="text1"/>
          <w:sz w:val="24"/>
          <w14:textFill>
            <w14:solidFill>
              <w14:schemeClr w14:val="tx1"/>
            </w14:solidFill>
          </w14:textFill>
        </w:rPr>
        <w:t>在规定媒介上联合公告。</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新任基金管理人或临时基金管理人接收基金管理业务，或新任基金托管人或临时基金托管人接收基金财产和基金托管业务前，原基金管理人或原基金托管人应继续履行相关职责，并保证不做出对基金份额持有人的利益造成损害的行为。</w:t>
      </w:r>
      <w:bookmarkStart w:id="23" w:name="_Hlk202194878"/>
      <w:r>
        <w:rPr>
          <w:rFonts w:hint="eastAsia"/>
          <w:bCs/>
          <w:color w:val="000000" w:themeColor="text1"/>
          <w:sz w:val="24"/>
          <w14:textFill>
            <w14:solidFill>
              <w14:schemeClr w14:val="tx1"/>
            </w14:solidFill>
          </w14:textFill>
        </w:rPr>
        <w:t>原基金管理人或原基金托管人在继续履行相关职责期间，仍有权按照本基金合同的规定收取基金管理费或基金托管费。</w:t>
      </w:r>
      <w:bookmarkEnd w:id="23"/>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四、基金管理人、基金托管人更换条件和程序除应符合本部分的约定外，还应符合第八部分“基金份额持有人大会”的约定。在基金管理人、基金托管人更换事宜中，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1504"/>
        </w:tabs>
        <w:spacing w:before="102"/>
        <w:ind w:right="236"/>
        <w:jc w:val="center"/>
        <w:outlineLvl w:val="0"/>
        <w:rPr>
          <w:rFonts w:hint="eastAsia"/>
          <w:b/>
          <w:bCs/>
          <w:color w:val="000000" w:themeColor="text1"/>
          <w:sz w:val="30"/>
          <w:szCs w:val="30"/>
          <w14:textFill>
            <w14:solidFill>
              <w14:schemeClr w14:val="tx1"/>
            </w14:solidFill>
          </w14:textFill>
        </w:rPr>
      </w:pPr>
      <w:bookmarkStart w:id="24" w:name="_Toc173413666"/>
      <w:r>
        <w:rPr>
          <w:b/>
          <w:bCs/>
          <w:color w:val="000000" w:themeColor="text1"/>
          <w:sz w:val="30"/>
          <w:szCs w:val="30"/>
          <w14:textFill>
            <w14:solidFill>
              <w14:schemeClr w14:val="tx1"/>
            </w14:solidFill>
          </w14:textFill>
        </w:rPr>
        <w:t>第十部分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基金的托管</w:t>
      </w:r>
      <w:bookmarkEnd w:id="24"/>
    </w:p>
    <w:p>
      <w:pPr>
        <w:rPr>
          <w:rFonts w:hint="eastAsia"/>
          <w:b/>
          <w:color w:val="000000" w:themeColor="text1"/>
          <w:sz w:val="30"/>
          <w:szCs w:val="24"/>
          <w14:textFill>
            <w14:solidFill>
              <w14:schemeClr w14:val="tx1"/>
            </w14:solidFill>
          </w14:textFill>
        </w:rPr>
      </w:pP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基金托管人和基金管理人按照《基金法》、基金合同及其他有关规定订立托管协议。</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1804"/>
        </w:tabs>
        <w:spacing w:before="102"/>
        <w:ind w:right="237"/>
        <w:jc w:val="center"/>
        <w:outlineLvl w:val="0"/>
        <w:rPr>
          <w:rFonts w:hint="eastAsia"/>
          <w:b/>
          <w:bCs/>
          <w:color w:val="000000" w:themeColor="text1"/>
          <w:sz w:val="30"/>
          <w:szCs w:val="30"/>
          <w14:textFill>
            <w14:solidFill>
              <w14:schemeClr w14:val="tx1"/>
            </w14:solidFill>
          </w14:textFill>
        </w:rPr>
      </w:pPr>
      <w:bookmarkStart w:id="25" w:name="_Toc173413667"/>
      <w:r>
        <w:rPr>
          <w:b/>
          <w:bCs/>
          <w:color w:val="000000" w:themeColor="text1"/>
          <w:sz w:val="30"/>
          <w:szCs w:val="30"/>
          <w14:textFill>
            <w14:solidFill>
              <w14:schemeClr w14:val="tx1"/>
            </w14:solidFill>
          </w14:textFill>
        </w:rPr>
        <w:t>第十一部分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基金份额的登记</w:t>
      </w:r>
      <w:bookmarkEnd w:id="25"/>
    </w:p>
    <w:p>
      <w:pPr>
        <w:rPr>
          <w:rFonts w:hint="eastAsia"/>
          <w:b/>
          <w:color w:val="000000" w:themeColor="text1"/>
          <w:sz w:val="30"/>
          <w:szCs w:val="24"/>
          <w14:textFill>
            <w14:solidFill>
              <w14:schemeClr w14:val="tx1"/>
            </w14:solidFill>
          </w14:textFill>
        </w:rPr>
      </w:pP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一、基金的份额登记业务</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二、基金登记业务办理机构</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和办理非交易过户等事宜中的权利和义务，保护基金份额持有人的合法权益。</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三、基金登记机构的权利</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基金登记机构享有以下权利：</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1、取得登记费</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2、建立和管理投资者基金账户</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3、保管基金份额持有人开户资料、交易资料、基金份额持有人名册等</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4、在法律法规允许的范围内，制定和调整登记业务规则，对登记业务的办理时间进行调整，并依照有关规定于开始实施前按照《信息披露办法》的规定在规定媒介上公告</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5、法律法规及中国证监会规定的和基金合同约定的其他权利。</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四、基金登记机构的义务</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基金登记机构承担以下义务：</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1、配备足够的专业人员办理本基金份额的登记业务</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2、严格按照法律法规和基金合同规定的条件办理本基金份额的登记业务</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3、妥善保存登记数据，并将基金份额持有人姓名或名称、身份信息及基金份额明细等数据备份至中国证监会认定的机构。其保存期限不低于法律法规规定的最低年限</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4、对基金份额持有人的基金账户信息负有保密义务，因违反该保密义务对投资者或基金带来的损失，须承担相应的赔偿责任，但法律法规及中国证监会规定的</w:t>
      </w:r>
      <w:r>
        <w:rPr>
          <w:rFonts w:hint="eastAsia"/>
          <w:bCs/>
          <w:color w:val="000000" w:themeColor="text1"/>
          <w:sz w:val="24"/>
          <w14:textFill>
            <w14:solidFill>
              <w14:schemeClr w14:val="tx1"/>
            </w14:solidFill>
          </w14:textFill>
        </w:rPr>
        <w:t>、司法机构等有权机关要求的</w:t>
      </w:r>
      <w:r>
        <w:rPr>
          <w:bCs/>
          <w:color w:val="000000" w:themeColor="text1"/>
          <w:sz w:val="24"/>
          <w14:textFill>
            <w14:solidFill>
              <w14:schemeClr w14:val="tx1"/>
            </w14:solidFill>
          </w14:textFill>
        </w:rPr>
        <w:t>和基金合同约定的其他情形除外</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5、按基金合同及招募说明书规定为投资者办理非交易过户业务、提供其他必要的服务</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6、接受基金管理人的监督</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7、法律法规及中国证监会规定的和基金合同约定的其他义务。</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1804"/>
        </w:tabs>
        <w:spacing w:before="102"/>
        <w:ind w:right="239"/>
        <w:jc w:val="center"/>
        <w:outlineLvl w:val="0"/>
        <w:rPr>
          <w:rFonts w:hint="eastAsia"/>
          <w:b/>
          <w:bCs/>
          <w:color w:val="000000" w:themeColor="text1"/>
          <w:sz w:val="30"/>
          <w:szCs w:val="30"/>
          <w14:textFill>
            <w14:solidFill>
              <w14:schemeClr w14:val="tx1"/>
            </w14:solidFill>
          </w14:textFill>
        </w:rPr>
      </w:pPr>
      <w:bookmarkStart w:id="26" w:name="_Toc173413668"/>
      <w:r>
        <w:rPr>
          <w:b/>
          <w:bCs/>
          <w:color w:val="000000" w:themeColor="text1"/>
          <w:sz w:val="30"/>
          <w:szCs w:val="30"/>
          <w14:textFill>
            <w14:solidFill>
              <w14:schemeClr w14:val="tx1"/>
            </w14:solidFill>
          </w14:textFill>
        </w:rPr>
        <w:t>第十二部分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基金的投资</w:t>
      </w:r>
      <w:bookmarkEnd w:id="26"/>
    </w:p>
    <w:p>
      <w:pPr>
        <w:rPr>
          <w:rFonts w:hint="eastAsia"/>
          <w:b/>
          <w:color w:val="000000" w:themeColor="text1"/>
          <w:sz w:val="30"/>
          <w:szCs w:val="24"/>
          <w14:textFill>
            <w14:solidFill>
              <w14:schemeClr w14:val="tx1"/>
            </w14:solidFill>
          </w14:textFill>
        </w:rPr>
      </w:pP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一、投资目标</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本基金在有效控制投资组合风险的前提下，力争为基金份额持有人获取超越业绩比较基准的投资回报。</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二、投资范围</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本基金投资于</w:t>
      </w:r>
      <w:bookmarkStart w:id="27" w:name="_Hlk199867759"/>
      <w:r>
        <w:rPr>
          <w:rFonts w:hint="eastAsia"/>
          <w:bCs/>
          <w:color w:val="000000" w:themeColor="text1"/>
          <w:sz w:val="24"/>
          <w14:textFill>
            <w14:solidFill>
              <w14:schemeClr w14:val="tx1"/>
            </w14:solidFill>
          </w14:textFill>
        </w:rPr>
        <w:t>具有良好流动性的金融工具，包括国内依法发行上市的股票（包含主板、科创板、创业板及其他经中国证监会核准或注册上市的股票、存托凭证）、港股通标的股票、债券（包括国债、地方政府债、政府支持机构债、金融债、企业债、公司债、央行票据、中期票据、短期融资券、超短期融资券、可转换债券、可交换债券、永续债、公开发行的次级债、分离交易可转债的纯债部分等）、资产支持证券、债券回购、银行存款、同业存单、货币市场工具、国债期货等，以及法律法规或中国证监会允许基金投资的其他金融工具（但须符合中国证监会的相关规定）。</w:t>
      </w:r>
      <w:bookmarkEnd w:id="27"/>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如法律法规或监管机构以后允许基金投资其他品种，基金管理人在履行适当程序后，可以将其纳入投资范围。</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本基金的投资组合比例为：</w:t>
      </w:r>
      <w:bookmarkStart w:id="28" w:name="_Hlk199867788"/>
      <w:r>
        <w:rPr>
          <w:rFonts w:hint="eastAsia"/>
          <w:bCs/>
          <w:color w:val="000000" w:themeColor="text1"/>
          <w:sz w:val="24"/>
          <w14:textFill>
            <w14:solidFill>
              <w14:schemeClr w14:val="tx1"/>
            </w14:solidFill>
          </w14:textFill>
        </w:rPr>
        <w:t>本基金对债券资产的投资比例不低于基金资产的80%，对股票、存托凭证的投资比例占基金资产的5%-20%（其中投资于境内股票资产的比例不低于基金资产的5%，投资于港股通标的股票的比例不超过本基金所投资股票资产的50%）；每个交易日日终在扣除国债期货合约需缴纳的交易保证金后，本基金持有的现金或者到期日在一年以内的政府债券不低于基金资产净值的5%，其中现金不包括结算备付金、存出保证金、应收申购款等。</w:t>
      </w:r>
      <w:bookmarkEnd w:id="28"/>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如法律法规或监管机构变更投资品种的投资比例限制，基金管理人在履行适当程序后，可以调整上述投资品种的投资比例。</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三、投资策略</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本基金将通过对宏观经济运行状况、国家货币政策和财政政策及资本市场资金环境的研究，综合运用资产配置策略、股票投资策略、固定收益投资策略、可转换债券（含分离交易可转债）和可交换债券投资策略、国债期货投资策略、同业存单投资策略等多种投资策略，在做好风险管理的基础上，运用多样化的投资策略追求基金资产的稳定增值。</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（一）资产配置策略</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本基金主要通过对宏观经济运行状况、国家财政和货币政策、国家产业政策以及资本市场资金环境、证券市场走势的分析，在评价未来一段时间股票、债券市场相对收益率的基础上，动态优化调整权益类、固定收益类等大类资产的配置。</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（二）固定收益投资策略</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1、久期配置：基于宏观经济趋势性变化，自上而下的资产配置。利用宏观经济分析模型，确定宏观经济的周期变化，主要是中长期的变化趋势，由此确定利率变动的方向和趋势。根据不同大类资产在宏观经济周期的属性，即货币市场顺周期、债券市场逆周期的特点，确定债券资产配置的基本方向和特征。结合货币政策、财政政策以及债券市场资金供求分析，根据收益率模型为各种固定收益类金融工具进行风险评估，最终确定投资组合的久期配置。</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2、期限结构配置：基于数量化模型，自上而下的资产配置。在确定组合久期后，通过研究收益率曲线形态，采用收益率曲线分析模型对各期限段的风险收益情况进行评估，对收益率曲线各个期限的骑乘收益进行分析。通过优化资产配置模型选择预期收益率最高的期限段进行配比组合，从而在子弹组合、杠铃组合和梯形组合中选择风险收益比最佳的配置方案。</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子弹组合，即组合的现金流尽量集中分布；</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杠铃组合，即组合的现金流尽量呈两极分布；</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梯形组合，即组合的现金流在投资期内尽可能平均分布。</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3、债券类别配置/个券选择：主要依据信用利差分析，自上而下的资产配置。本基金根据利率债券和信用债券之间的相对价值，以其历史价格关系的数量分析为依据，同时兼顾特定类别收益品种的基本面分析，综合分析各个品种的信用利差变化。在信用利差水平较高时持有金融债、企业债、短期融资券等信用债券，在信用利差水平较低时持有国债等利率债券，从而确定整个债券组合中各类别债券投资比例。</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个券选择：基于各个投资品种具体情况，自下而上的资产配置。</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个券选择应遵循如下原则：</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相对价值原则：同等风险中收益率较高的品种，同等收益率风险较低的品种。</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流动性原则：其它条件类似，选择流动性较好的品种。</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4、</w:t>
      </w:r>
      <w:bookmarkStart w:id="29" w:name="OLE_LINK5"/>
      <w:r>
        <w:rPr>
          <w:rFonts w:hint="eastAsia"/>
          <w:bCs/>
          <w:color w:val="000000" w:themeColor="text1"/>
          <w:sz w:val="24"/>
          <w:szCs w:val="24"/>
          <w:lang w:val="en-US"/>
          <w14:textFill>
            <w14:solidFill>
              <w14:schemeClr w14:val="tx1"/>
            </w14:solidFill>
          </w14:textFill>
        </w:rPr>
        <w:t>信用债投资策略</w:t>
      </w:r>
      <w:bookmarkEnd w:id="29"/>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本基金对于投资品种信用等级的投资限制如下：本基金主动投资于信用债（含资产支持证券，下同）时的信用评级在AA+及以上（有债项评级的以债项评级为准，无债项评级的以主体评级为准，短期融资券、超短期融资券参照主体评级），其中本基金投资于信用评级为AA+的信用债占信用债资产的比例为0-20%，投资于信用评级为AAA的信用债占信用债资产的比例为80%-100%。</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本基金将在内部信用评级的基础上和内部信用风险控制的框架下，运用行业研究方法和公司财务分析方法对债券发行人信用风险进行分析和度量，精选预期风险可控、收益率较高的债券，结合适度分散的行业配置策略，构造和优化债券投资组合，为投资人获取较高的投资收益。</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（1）信用类债券的个券选择及行业配置</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1）根据宏观经济环境及各行业的发展状况，确定各行业的优先配置顺序；</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2）研究债券发行人的产业发展趋势、行业政策、公司背景、盈利状况、竞争地位、治理结构、特殊事件风险等基本面信息，分析企业的长期运作风险；</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3）运用财务评价体系对债券发行人的资产流动性、盈利能力、偿债能力、现金流水平等方面进行综合评价，度量发行人财务风险；</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4）利用历史数据、市场价格以及资产质量等信息，估算债券发行人的违约率及违约损失率；</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5）综合发行人各方面分析结果，确定信用利差的合理水平，利用市场的相对失衡，选择溢价偏高的品种进行投资。</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（2）杠杆放大策略</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杠杆放大操作即以组合现有债券为基础，利用买断式回购、质押式回购等方式融入低成本资金，并购买剩余年限相对较长并具有较高收益的债券，以期获取超额收益的操作方式。</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3）基金持有信用债期间，如果其评级下降、基金规模变动、变现信用债支付赎回款项等使得投资比例不再符合上述约定，应在评级报告发布之日或不再符合上述约定之日起3个月内将未受到信用衍生品保护的信用债调整至符合约定。基金管理人应当自基金合同生效之日起6个月内使基金的投资组合比例符合上述比例要求。</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5、资产支持证券投资策略</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本基金将在宏观经济和基本面分析的基础上，对资产证券化产品的质量和构成、利率风险、信用风险、流动性风险和提前偿付风险等进行定性和定量的全方面分析，评估其相对投资价值并作出相应的投资决策，力求在控制投资风险的前提下尽可能的提高本基金的收益。</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（三）可转换债券以及可交换债券投资策略</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可转换债券兼具债券和股票的相关特性，其投资风险和收益介于债券和股票之间。在进行可转换债券筛选时，本基金将首先对可转换债券自身的内在债券价值（如票面利息、利息补偿及无条件回售价格）、保护条款的适用范围、流动性等方面进行研究；然后对可转换债券的基础股票的基本面进行分析，形成对基础股票的价值评估；最后将可转换债券自身的基本面评分和其基础股票的基本面评分结合在一起以确定投资的可转换债券品种。</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可交换债券在换股期间用于交换的股票是发行人持有的其他上市公司（以下简称“目标公司”）的股票。可交换债券同样兼具股票和债券的特性。其中，债券特性与可转换债券相同，指持有至到期获取的票面利息和票面价值。股票特性则指目标公司的成长能力、盈利能力及目标公司股票价格的成长性等。本基金将通过对可交换债券的纯债价值和目标公司的股票价值进行研究分析，综合开展投资决策。</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本基金投资于可转换债券和可交换债券比例合计不超过基金资产的20%。</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（四）股票投资策略</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1、A股投资策略</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在股票投资中，本基金采用定量分析与定性分析相结合的方法，选择其中经营稳健、具有核心竞争优势的上市公司进行投资。其间，本基金也将积极关注上市公司基本面发生改变时所带来的投资交易机会。</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1）定量分析</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本基金通过综合考察上市公司的财务优势、估值优势和成长优势来进行个股的筛选。</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本基金考察的财务指标主要包括：净资产收益率、资产负债率。</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本基金考察的估值指标主要包括：市盈率、市净率和市销率。</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本基金考察的成长指标主要包括：营业收入增长率、净利润增长率。</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2）定性分析</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本基金主要通过实地调研等方法，综合考察评估公司的经营情况，重点投资具有较高进入壁垒、在行业中具备比较优势、经营稳健的公司，并坚决规避那些公司治理混乱、管理效率低下的公司，以确保最大程度地规避投资风险。</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2、港股投资策略：本基金可通过内地与香港股票市场交易互联互通机制投资于香港股票市场，不使用合格境内机构投资者(QDII)境外投资额度进行境外投资。本基金重点投资于基本面良好、相对A股市场估值合理,具有持续领先优势或核心竞争力及注重现金分红的上市公司进行长期投资。本基金可根据投资策略需要或不同配置地市场环境的变化，选择将部分基金资产投资于港股或选择不将基金资产投资于港股，基金资产并非必然投资港股。</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3、存托凭证投资策略</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对于存托凭证的投资，本基金将依照境内上市交易的股票，通过定性分析和定量分析相结合的方式，精选优质上市公司，并最大限度避免由于存托凭证在交易规则、上市公司治理结构等方面的差异而或有的负面影响。</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（五）国债期货投资策略</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本基金将根据风险管理的原则，以套期保值为目的，主要选择流动性好、交易活跃的国债期货合约进行交易。本基金按照相关法律法规的规定，结合对宏观经济形势和政策趋势的判断、对债券市场进行定性和定量分析，对国债期货和现货基差、国债期货的流动性、波动水平、套期保值的有效性等指标进行跟踪监控，在追求基金资产安全的基础上，力求实现基金资产的中长期稳定增值。</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（六）同业存单投资策略</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本基金根据对存单发行银行的信用资质和存单流动性进行分析，严控信用风险底线的前提下，根据信用资质、流动性、收益率的综合考虑，选择具有良好投资价值的存单品种进行投资。信用资质分析，采用外部评级机构和内部评级相结合的方式，对信用风险进行审慎甄别。</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四、投资限制</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1、组合限制</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基金的投资组合应遵循以下限制：</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bookmarkStart w:id="30" w:name="_Hlk202184651"/>
      <w:r>
        <w:rPr>
          <w:rFonts w:hint="eastAsia"/>
          <w:bCs/>
          <w:color w:val="000000" w:themeColor="text1"/>
          <w:sz w:val="24"/>
          <w:szCs w:val="24"/>
          <w:lang w:val="en-US"/>
          <w14:textFill>
            <w14:solidFill>
              <w14:schemeClr w14:val="tx1"/>
            </w14:solidFill>
          </w14:textFill>
        </w:rPr>
        <w:t>（1）本基金对债券资产的投资比例不低于基金资产的80％；股票、存托凭证的投资比例合计占基金资产的5%-20%（其中投资于境内股票资产的比例不低于基金资产的5%，投资于港股通标的股票的比例不超过本基金所投资股票资产的50%）；</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（2）每个交易日日终，在扣除国债期货合约需缴纳的交易保证金后，保持现金（不包括结算备付金、存出保证金、应收申购款等）或者到期日在一年以内的政府债券投资比例合计不低于基金资产净值的5%；</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（3）本基金持有一家公司发行的证券，其市值（同一家公司在境内和香港同时上市的A+H股合计计算）不超过基金资产净值的10％；</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（4）本基金管理人管理的全部基金持有一家公司发行的证券（同一家公司在境内和香港同时上市的A+H股合计计算），不超过该证券的10％</w:t>
      </w:r>
      <w:bookmarkStart w:id="31" w:name="_Hlk203136269"/>
      <w:r>
        <w:rPr>
          <w:rFonts w:hint="eastAsia"/>
          <w:bCs/>
          <w:color w:val="000000" w:themeColor="text1"/>
          <w:sz w:val="24"/>
          <w:szCs w:val="24"/>
          <w:lang w:val="en-US"/>
          <w14:textFill>
            <w14:solidFill>
              <w14:schemeClr w14:val="tx1"/>
            </w14:solidFill>
          </w14:textFill>
        </w:rPr>
        <w:t>，完全按照有关指数的构成比例进行证券投资的基金品种可以不受此条款规定的比例限制</w:t>
      </w:r>
      <w:bookmarkEnd w:id="31"/>
      <w:r>
        <w:rPr>
          <w:rFonts w:hint="eastAsia"/>
          <w:bCs/>
          <w:color w:val="000000" w:themeColor="text1"/>
          <w:sz w:val="24"/>
          <w:szCs w:val="24"/>
          <w:lang w:val="en-US"/>
          <w14:textFill>
            <w14:solidFill>
              <w14:schemeClr w14:val="tx1"/>
            </w14:solidFill>
          </w14:textFill>
        </w:rPr>
        <w:t>；</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（5）本基金投资于同一原始权益人的各类资产支持证券的比例，不得超过基金资产净值的10％；</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（6）本基金持有的全部资产支持证券，其市值不得超过基金资产净值的20％；</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（7）本基金持有的同一（指同一信用级别）资产支持证券的比例，不得超过该资产支持证券规模的10％；</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（8）本基金管理人管理的全部基金投资于同一原始权益人的各类资产支持证券，不得超过其各类资产支持证券合计规模的10％；</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bCs/>
          <w:color w:val="000000" w:themeColor="text1"/>
          <w:sz w:val="24"/>
          <w:szCs w:val="24"/>
          <w:lang w:val="en-US"/>
          <w14:textFill>
            <w14:solidFill>
              <w14:schemeClr w14:val="tx1"/>
            </w14:solidFill>
          </w14:textFill>
        </w:rPr>
        <w:t>（</w:t>
      </w:r>
      <w:r>
        <w:rPr>
          <w:rFonts w:hint="eastAsia"/>
          <w:bCs/>
          <w:color w:val="000000" w:themeColor="text1"/>
          <w:sz w:val="24"/>
          <w:szCs w:val="24"/>
          <w:lang w:val="en-US"/>
          <w14:textFill>
            <w14:solidFill>
              <w14:schemeClr w14:val="tx1"/>
            </w14:solidFill>
          </w14:textFill>
        </w:rPr>
        <w:t>9</w:t>
      </w:r>
      <w:r>
        <w:rPr>
          <w:bCs/>
          <w:color w:val="000000" w:themeColor="text1"/>
          <w:sz w:val="24"/>
          <w:szCs w:val="24"/>
          <w:lang w:val="en-US"/>
          <w14:textFill>
            <w14:solidFill>
              <w14:schemeClr w14:val="tx1"/>
            </w14:solidFill>
          </w14:textFill>
        </w:rPr>
        <w:t>）本基金应投资于信用级别评级为</w:t>
      </w:r>
      <w:r>
        <w:rPr>
          <w:rFonts w:hint="eastAsia"/>
          <w:bCs/>
          <w:color w:val="000000" w:themeColor="text1"/>
          <w:sz w:val="24"/>
          <w:szCs w:val="24"/>
          <w:lang w:val="en-US"/>
          <w14:textFill>
            <w14:solidFill>
              <w14:schemeClr w14:val="tx1"/>
            </w14:solidFill>
          </w14:textFill>
        </w:rPr>
        <w:t>AA+</w:t>
      </w:r>
      <w:r>
        <w:rPr>
          <w:bCs/>
          <w:color w:val="000000" w:themeColor="text1"/>
          <w:sz w:val="24"/>
          <w:szCs w:val="24"/>
          <w:lang w:val="en-US"/>
          <w14:textFill>
            <w14:solidFill>
              <w14:schemeClr w14:val="tx1"/>
            </w14:solidFill>
          </w14:textFill>
        </w:rPr>
        <w:t>以上（含</w:t>
      </w:r>
      <w:r>
        <w:rPr>
          <w:rFonts w:hint="eastAsia"/>
          <w:bCs/>
          <w:color w:val="000000" w:themeColor="text1"/>
          <w:sz w:val="24"/>
          <w:szCs w:val="24"/>
          <w:lang w:val="en-US"/>
          <w14:textFill>
            <w14:solidFill>
              <w14:schemeClr w14:val="tx1"/>
            </w14:solidFill>
          </w14:textFill>
        </w:rPr>
        <w:t>AA+</w:t>
      </w:r>
      <w:r>
        <w:rPr>
          <w:bCs/>
          <w:color w:val="000000" w:themeColor="text1"/>
          <w:sz w:val="24"/>
          <w:szCs w:val="24"/>
          <w:lang w:val="en-US"/>
          <w14:textFill>
            <w14:solidFill>
              <w14:schemeClr w14:val="tx1"/>
            </w14:solidFill>
          </w14:textFill>
        </w:rPr>
        <w:t>）的资产支持证券。基金持有资产支持证券期间，如果其信用等级下降、不再符合投资标准，应在评级报告发布之日起</w:t>
      </w:r>
      <w:r>
        <w:rPr>
          <w:rFonts w:hint="eastAsia"/>
          <w:bCs/>
          <w:color w:val="000000" w:themeColor="text1"/>
          <w:sz w:val="24"/>
          <w:szCs w:val="24"/>
          <w:lang w:val="en-US"/>
          <w14:textFill>
            <w14:solidFill>
              <w14:schemeClr w14:val="tx1"/>
            </w14:solidFill>
          </w14:textFill>
        </w:rPr>
        <w:t>3个月内予以全部卖出；</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（10）基金财产参与股票发行申购，本基金所申报的金额不超过本基金的总资产，本基金所申报的股票数量不超过拟发行股票公司本次发行股票的总量；</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（11）本基金债券正回购或逆回购的资金余额不得超过上一日基金资产净值的40%，债券回购的最长期限为1年；</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13）本基金主动投资于流动性受限资产的市值合计不得超过本基金资产净值的15%；因证券市场波动、上市公司股票停牌等基金管理人之外的因素致使基金不符合该比例限制的，基金管理人不得主动新增流动性受限资产的投资；</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（14）本基金与私募类证券资管产品及中国证监会认定的其他主体为交易对手开展逆回购交易的，可接受质押品的资质要求应当与本基金合同约定的投资范围保持一致；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（15）本基金若参与国债期货交易的，需遵守下列投资比例限制：</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1）本基金在任何交易日日终，持有的买入国债期货合约价值，不得超过基金资产净值的15%；</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2）本基金在任何交易日日终，持有的卖出国债期货合约价值不得超过基金持有的债券总市值的30%；</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3）本基金在任何交易日内交易（不包括平仓）的国债期货合约的成交金额不得超过上一交易日基金资产净值的30%；</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4）在任何交易日日终，持有的债券（不含到期日在一年以内的政府债券）市值和买入、卖出国债期货合约价值，合计（轧差计算）应当符合基金合同关于债券投资比例的有关规定；</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（16）本基金资产总值不超过基金资产净值的140%；</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（17）本基金投资存托凭证的比例限制依照境内上市交易的股票执行，与境内上市交易的股票合并计算；</w:t>
      </w:r>
    </w:p>
    <w:bookmarkEnd w:id="30"/>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（18）法律法规及中国证监会规定的和基金合同约定的其他投资限制。</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除上述第（2）、（9）、（13）、（14）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基金管理人应当自基金合同生效之日起</w:t>
      </w:r>
      <w:r>
        <w:rPr>
          <w:color w:val="000000" w:themeColor="text1"/>
          <w:sz w:val="24"/>
          <w:szCs w:val="24"/>
          <w14:textFill>
            <w14:solidFill>
              <w14:schemeClr w14:val="tx1"/>
            </w14:solidFill>
          </w14:textFill>
        </w:rPr>
        <w:t>6个月内使基金的投资组合比例符合基金合同的有关约定。</w:t>
      </w:r>
      <w:r>
        <w:rPr>
          <w:rFonts w:hint="eastAsia"/>
          <w:color w:val="000000" w:themeColor="text1"/>
          <w:sz w:val="24"/>
          <w:szCs w:val="24"/>
          <w14:textFill>
            <w14:solidFill>
              <w14:schemeClr w14:val="tx1"/>
            </w14:solidFill>
          </w14:textFill>
        </w:rPr>
        <w:t>期间，</w:t>
      </w:r>
      <w:r>
        <w:rPr>
          <w:color w:val="000000" w:themeColor="text1"/>
          <w:sz w:val="24"/>
          <w:szCs w:val="24"/>
          <w14:textFill>
            <w14:solidFill>
              <w14:schemeClr w14:val="tx1"/>
            </w14:solidFill>
          </w14:textFill>
        </w:rPr>
        <w:t>本基金的投资范围、投资策略应当符合基金合同的约定。基金托管人对基金投资的监督与检查自本基金合同生效之日起开始。</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2、禁止行为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为维护基金份额持有人的合法权益，基金财产不得用于下列投资或者活动：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1）承销证券；</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2）违反规定向他人贷款或者提供担保；</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3）从事承担无限责任的投资；</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4）买卖其他基金份额，但是法律法规和中国证监会另有规定的除外；</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5）向其基金管理人、基金托管人出资；</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6）从事内幕交易、操纵证券交易价格及其他不正当的证券交易活动；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7）法律、行政法规和中国证监会规定禁止的其他活动。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法律法规或监管部门对本基金合同所述投资比例、投资限制、组合限制、禁止行为等作出强制性调整的，本基金应当按照法律法规或监管部门的规定执行；如法律法规或监管部门修改或调整涉及本基金的投资比例、投资限制、组合限制、禁止行为等，且该等调整或修改属于非强制性的，基金管理人与基金托管人协商一致后，可按照法律法规或监管部门调整或修改后的规定执行，无需基金份额持有人大会审议决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五、业绩比较基准</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中债综合全价（总值）指数收益率*89%+沪深300指数收益率*10%+恒生指数收益率(按估值汇率折算)*1%</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中债综合全价指数由中央国债登记结算有限责任公司编制，样本债券涵盖的范围全面，具有广泛的市场代表性，涵盖主要交易市场（银行间市场、交易所市场等）、不同发行主体（政府、企业等）和期限（长期、中期、短期等），能够很好地反映中国债券市场总体价格水平和变动趋势，适合作为本基金债券投资的业绩比较基准。</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沪深300指数是由中证指数有限公司开发的中国A股市场指数，其成份股票为中国A股市场中代表性强、流动性高、流通市值大的主流股票，能够反映A股市场总体价格走势。</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恒生指数是由恒生指数服务有限公司编制，以香港股票市场中的50家上市股票为成份股样本，以其发行量为权数的加权平均股价指数，是反映香港股市价幅趋势最有影响的一种股价指数。</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根据本基金的投资范围和投资比例，设定本基金的</w:t>
      </w:r>
      <w:bookmarkStart w:id="32" w:name="OLE_LINK2"/>
      <w:r>
        <w:rPr>
          <w:rFonts w:hint="eastAsia"/>
          <w:color w:val="000000" w:themeColor="text1"/>
          <w:sz w:val="24"/>
          <w:szCs w:val="24"/>
          <w14:textFill>
            <w14:solidFill>
              <w14:schemeClr w14:val="tx1"/>
            </w14:solidFill>
          </w14:textFill>
        </w:rPr>
        <w:t>业绩比较基准</w:t>
      </w:r>
      <w:bookmarkEnd w:id="32"/>
      <w:r>
        <w:rPr>
          <w:rFonts w:hint="eastAsia"/>
          <w:color w:val="000000" w:themeColor="text1"/>
          <w:sz w:val="24"/>
          <w:szCs w:val="24"/>
          <w14:textFill>
            <w14:solidFill>
              <w14:schemeClr w14:val="tx1"/>
            </w14:solidFill>
          </w14:textFill>
        </w:rPr>
        <w:t>为：“</w:t>
      </w:r>
      <w:r>
        <w:rPr>
          <w:rFonts w:hint="eastAsia"/>
          <w:bCs/>
          <w:color w:val="000000" w:themeColor="text1"/>
          <w:sz w:val="24"/>
          <w:szCs w:val="24"/>
          <w:lang w:val="en-US"/>
          <w14:textFill>
            <w14:solidFill>
              <w14:schemeClr w14:val="tx1"/>
            </w14:solidFill>
          </w14:textFill>
        </w:rPr>
        <w:t>中债综合全价（总值）指数收益率*89%+沪深300指数收益率*10%+恒生指数收益率(按估值汇率折算)*1%</w:t>
      </w:r>
      <w:r>
        <w:rPr>
          <w:color w:val="000000" w:themeColor="text1"/>
          <w:sz w:val="24"/>
          <w:szCs w:val="24"/>
          <w14:textFill>
            <w14:solidFill>
              <w14:schemeClr w14:val="tx1"/>
            </w14:solidFill>
          </w14:textFill>
        </w:rPr>
        <w:t>”，该基准能客观衡量本基金的投资绩效。</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如果今后法律法规发生变化，或者有更权威的、更能为市场普遍接受的业绩比较基准推出，或者是市场上出现更加适合用于本基金的业绩比较基准时，本基金管理人可以依据维护投资人合法权益的原则，在与基金托管人协商一致并按照监管部门要求履行适当程序后，适当调整业绩比较基准并在规定媒介上及时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六、风险收益特征</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本基金为债券型基金，其预期风险和预期收益高于货币市场基金，低于股票型基金和混合型基金。</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本基金还可投资港股通标的股票，需承担港股通机制下因投资环境、投资标的、市场制度以及交易规则等差异带来的特有风险。</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七、基金管理人代表基金行使股东或债权人权利的处理原则及方法</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1、基金管理人按照国家有关规定代表基金独立行使股东或债权人权利，保护基金份额持有人的利益</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2、不谋求对上市公司的控股</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3、有利于基金财产的安全与增值</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4、不通过关联交易为自身、雇员、授权代理人或任何存在利害关系的第三人牟取任何不当利益。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八、侧袋机制的实施和投资运作安排</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rFonts w:hint="eastAsia"/>
          <w:bCs/>
          <w:color w:val="000000" w:themeColor="text1"/>
          <w:sz w:val="24"/>
          <w:szCs w:val="24"/>
          <w:lang w:val="en-US"/>
          <w14:textFill>
            <w14:solidFill>
              <w14:schemeClr w14:val="tx1"/>
            </w14:solidFill>
          </w14:textFill>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侧袋机制实施期间，本部分约定的投资组合比例、投资策略、组合限制、业绩比较基准、风险收益特征等约定仅适用于主袋账户。</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侧袋账户的实施条件、实施程序、运作安排、投资安排、特定资产的处置变现和支付等对投资者权益有重大影响的事项详见招募说明书的规定。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1804"/>
        </w:tabs>
        <w:spacing w:before="102"/>
        <w:ind w:right="239"/>
        <w:jc w:val="center"/>
        <w:outlineLvl w:val="0"/>
        <w:rPr>
          <w:rFonts w:hint="eastAsia"/>
          <w:b/>
          <w:bCs/>
          <w:color w:val="000000" w:themeColor="text1"/>
          <w:sz w:val="30"/>
          <w:szCs w:val="30"/>
          <w14:textFill>
            <w14:solidFill>
              <w14:schemeClr w14:val="tx1"/>
            </w14:solidFill>
          </w14:textFill>
        </w:rPr>
      </w:pPr>
      <w:bookmarkStart w:id="33" w:name="_Toc173413669"/>
      <w:r>
        <w:rPr>
          <w:b/>
          <w:bCs/>
          <w:color w:val="000000" w:themeColor="text1"/>
          <w:sz w:val="30"/>
          <w:szCs w:val="30"/>
          <w14:textFill>
            <w14:solidFill>
              <w14:schemeClr w14:val="tx1"/>
            </w14:solidFill>
          </w14:textFill>
        </w:rPr>
        <w:t>第十三部分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基金的财产</w:t>
      </w:r>
      <w:bookmarkEnd w:id="33"/>
    </w:p>
    <w:p>
      <w:pPr>
        <w:rPr>
          <w:rFonts w:hint="eastAsia"/>
          <w:b/>
          <w:color w:val="000000" w:themeColor="text1"/>
          <w:sz w:val="30"/>
          <w:szCs w:val="24"/>
          <w14:textFill>
            <w14:solidFill>
              <w14:schemeClr w14:val="tx1"/>
            </w14:solidFill>
          </w14:textFill>
        </w:rPr>
      </w:pP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一、基金资产总值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基金资产总值是指基金拥有的各类有价证券、银行存款本息、基金应收款项及其他资产的价值总和。</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二、基金资产净值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基金资产净值是指基金资产总值减去基金负债后的价值。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三、基金财产的账户</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四、基金财产的保管和处分</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1804"/>
        </w:tabs>
        <w:spacing w:before="102"/>
        <w:ind w:right="239"/>
        <w:jc w:val="center"/>
        <w:outlineLvl w:val="0"/>
        <w:rPr>
          <w:rFonts w:hint="eastAsia"/>
          <w:b/>
          <w:bCs/>
          <w:color w:val="000000" w:themeColor="text1"/>
          <w:sz w:val="30"/>
          <w:szCs w:val="30"/>
          <w14:textFill>
            <w14:solidFill>
              <w14:schemeClr w14:val="tx1"/>
            </w14:solidFill>
          </w14:textFill>
        </w:rPr>
      </w:pPr>
      <w:bookmarkStart w:id="34" w:name="_Toc173413670"/>
      <w:r>
        <w:rPr>
          <w:b/>
          <w:bCs/>
          <w:color w:val="000000" w:themeColor="text1"/>
          <w:sz w:val="30"/>
          <w:szCs w:val="30"/>
          <w14:textFill>
            <w14:solidFill>
              <w14:schemeClr w14:val="tx1"/>
            </w14:solidFill>
          </w14:textFill>
        </w:rPr>
        <w:t>第十四部分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基金资产估值</w:t>
      </w:r>
      <w:bookmarkEnd w:id="34"/>
    </w:p>
    <w:p>
      <w:pPr>
        <w:rPr>
          <w:rFonts w:hint="eastAsia"/>
          <w:b/>
          <w:color w:val="000000" w:themeColor="text1"/>
          <w:sz w:val="30"/>
          <w:szCs w:val="24"/>
          <w14:textFill>
            <w14:solidFill>
              <w14:schemeClr w14:val="tx1"/>
            </w14:solidFill>
          </w14:textFill>
        </w:rPr>
      </w:pP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一、估值日</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本基金的估值日为本基金相关的证券交易场所的交易日以及国家法律法规规定需要对外披露基金净值的非交易日。</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二、估值对象</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基金所拥有的股票、存托凭证、港股通标的股票、债券、资产支持证券、国债期货合约和银行存款本息、应收款项、其它投资等资产及负债。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三、估值原则</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基金管理人在确定相关金融资产和金融负债的公允价值时，应符合《企业会计准则》、监管部门有关规定。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3、如经济环境发生重大变化或证券发行人发生影响证券价格的重大事件，使潜在估值调整对前一估值日的基金资产净值的影响在0.25%以上的，应对估值进行调整并确定公允价值。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四、估值方法</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1、证券交易所上市的有价证券的估值</w:t>
      </w:r>
    </w:p>
    <w:p>
      <w:pPr>
        <w:spacing w:line="360" w:lineRule="auto"/>
        <w:ind w:firstLine="480" w:firstLineChars="200"/>
        <w:jc w:val="both"/>
        <w:rPr>
          <w:rFonts w:hint="eastAsia"/>
          <w:color w:val="000000" w:themeColor="text1"/>
          <w:sz w:val="24"/>
          <w:szCs w:val="24"/>
          <w14:textFill>
            <w14:solidFill>
              <w14:schemeClr w14:val="tx1"/>
            </w14:solidFill>
          </w14:textFill>
        </w:rPr>
      </w:pPr>
      <w:bookmarkStart w:id="35" w:name="_Hlk178101892"/>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1）交易所上市的有价证券（包括股票等），以其估值日在证券交易所挂牌的市价（收盘价）估值；估值日无交易的，且最近交易日后经济环境未发生重大变化</w:t>
      </w:r>
      <w:r>
        <w:rPr>
          <w:rFonts w:hint="eastAsia"/>
          <w:color w:val="000000" w:themeColor="text1"/>
          <w:sz w:val="24"/>
          <w:szCs w:val="24"/>
          <w:lang w:val="en-US"/>
          <w14:textFill>
            <w14:solidFill>
              <w14:schemeClr w14:val="tx1"/>
            </w14:solidFill>
          </w14:textFill>
        </w:rPr>
        <w:t>或</w:t>
      </w:r>
      <w:r>
        <w:rPr>
          <w:color w:val="000000" w:themeColor="text1"/>
          <w:sz w:val="24"/>
          <w:szCs w:val="24"/>
          <w14:textFill>
            <w14:solidFill>
              <w14:schemeClr w14:val="tx1"/>
            </w14:solidFill>
          </w14:textFill>
        </w:rPr>
        <w:t>证券发行机构未发生影响证券价格的重大事件的，以最近交易日的市价</w:t>
      </w:r>
      <w:r>
        <w:rPr>
          <w:rFonts w:hint="eastAsia"/>
          <w:color w:val="000000" w:themeColor="text1"/>
          <w:sz w:val="24"/>
          <w:szCs w:val="24"/>
          <w14:textFill>
            <w14:solidFill>
              <w14:schemeClr w14:val="tx1"/>
            </w14:solidFill>
          </w14:textFill>
        </w:rPr>
        <w:t>（收盘价）估值；如最近交易日后经济环境发生了重大变化或证券发行机构发生影响证券价格的重大事件的，可参考类似投资品种的现行市价及重大变化因素，调整最近交易市价，确定公允价格；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2）交易所上市交易或挂牌转让的不含权固定收益品种，选取估值日第三方估值机构提供的相应品种当日的估值全价进行估值；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3）交易所上市交易或挂牌转让的含权固定收益品种，选取估值日第三方估值机构提供的相应品种当日的唯一估值全价或推荐估值全价进行估值；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4）交易所上市交易的</w:t>
      </w:r>
      <w:r>
        <w:rPr>
          <w:rFonts w:hint="eastAsia"/>
          <w:color w:val="000000" w:themeColor="text1"/>
          <w:sz w:val="24"/>
          <w:szCs w:val="24"/>
          <w14:textFill>
            <w14:solidFill>
              <w14:schemeClr w14:val="tx1"/>
            </w14:solidFill>
          </w14:textFill>
        </w:rPr>
        <w:t>公开发行的</w:t>
      </w:r>
      <w:r>
        <w:rPr>
          <w:color w:val="000000" w:themeColor="text1"/>
          <w:sz w:val="24"/>
          <w:szCs w:val="24"/>
          <w14:textFill>
            <w14:solidFill>
              <w14:schemeClr w14:val="tx1"/>
            </w14:solidFill>
          </w14:textFill>
        </w:rPr>
        <w:t>可转换债券</w:t>
      </w:r>
      <w:bookmarkStart w:id="36" w:name="_Hlk202189352"/>
      <w:r>
        <w:rPr>
          <w:rFonts w:hint="eastAsia"/>
          <w:color w:val="000000" w:themeColor="text1"/>
          <w:sz w:val="24"/>
          <w:szCs w:val="24"/>
          <w14:textFill>
            <w14:solidFill>
              <w14:schemeClr w14:val="tx1"/>
            </w14:solidFill>
          </w14:textFill>
        </w:rPr>
        <w:t>等有活跃市场的含转股权的债券</w:t>
      </w:r>
      <w:r>
        <w:rPr>
          <w:color w:val="000000" w:themeColor="text1"/>
          <w:sz w:val="24"/>
          <w:szCs w:val="24"/>
          <w14:textFill>
            <w14:solidFill>
              <w14:schemeClr w14:val="tx1"/>
            </w14:solidFill>
          </w14:textFill>
        </w:rPr>
        <w:t>，</w:t>
      </w:r>
      <w:bookmarkStart w:id="37" w:name="_Hlk202189404"/>
      <w:r>
        <w:rPr>
          <w:rFonts w:hint="eastAsia"/>
          <w:color w:val="000000" w:themeColor="text1"/>
          <w:sz w:val="24"/>
          <w:szCs w:val="24"/>
          <w14:textFill>
            <w14:solidFill>
              <w14:schemeClr w14:val="tx1"/>
            </w14:solidFill>
          </w14:textFill>
        </w:rPr>
        <w:t>实行全价交易的</w:t>
      </w:r>
      <w:r>
        <w:rPr>
          <w:rFonts w:hint="eastAsia"/>
          <w:color w:val="000000" w:themeColor="text1"/>
          <w:sz w:val="24"/>
          <w:szCs w:val="24"/>
          <w:lang w:val="en-US"/>
          <w14:textFill>
            <w14:solidFill>
              <w14:schemeClr w14:val="tx1"/>
            </w14:solidFill>
          </w14:textFill>
        </w:rPr>
        <w:t>债券选取</w:t>
      </w:r>
      <w:r>
        <w:rPr>
          <w:rFonts w:hint="eastAsia"/>
          <w:color w:val="000000" w:themeColor="text1"/>
          <w:sz w:val="24"/>
          <w:szCs w:val="24"/>
          <w14:textFill>
            <w14:solidFill>
              <w14:schemeClr w14:val="tx1"/>
            </w14:solidFill>
          </w14:textFill>
        </w:rPr>
        <w:t>估值日</w:t>
      </w:r>
      <w:bookmarkEnd w:id="36"/>
      <w:r>
        <w:rPr>
          <w:rFonts w:hint="eastAsia"/>
          <w:color w:val="000000" w:themeColor="text1"/>
          <w:sz w:val="24"/>
          <w:szCs w:val="24"/>
          <w14:textFill>
            <w14:solidFill>
              <w14:schemeClr w14:val="tx1"/>
            </w14:solidFill>
          </w14:textFill>
        </w:rPr>
        <w:t>收盘价作为估值全价；实行净价交易的</w:t>
      </w:r>
      <w:r>
        <w:rPr>
          <w:rFonts w:hint="eastAsia"/>
          <w:color w:val="000000" w:themeColor="text1"/>
          <w:sz w:val="24"/>
          <w:szCs w:val="24"/>
          <w:lang w:val="en-US"/>
          <w14:textFill>
            <w14:solidFill>
              <w14:schemeClr w14:val="tx1"/>
            </w14:solidFill>
          </w14:textFill>
        </w:rPr>
        <w:t>债券</w:t>
      </w:r>
      <w:r>
        <w:rPr>
          <w:rFonts w:hint="eastAsia"/>
          <w:color w:val="000000" w:themeColor="text1"/>
          <w:sz w:val="24"/>
          <w:szCs w:val="24"/>
          <w14:textFill>
            <w14:solidFill>
              <w14:schemeClr w14:val="tx1"/>
            </w14:solidFill>
          </w14:textFill>
        </w:rPr>
        <w:t>选取估值日收盘价并加计每百元税前应计利息作为估值全价</w:t>
      </w:r>
      <w:bookmarkEnd w:id="37"/>
      <w:r>
        <w:rPr>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5）交易所上市不存在活跃市场的有价证券，采用估值技术确定公允价值</w:t>
      </w:r>
      <w:r>
        <w:rPr>
          <w:rFonts w:hint="eastAsia"/>
          <w:color w:val="000000" w:themeColor="text1"/>
          <w:sz w:val="24"/>
          <w:szCs w:val="24"/>
          <w14:textFill>
            <w14:solidFill>
              <w14:schemeClr w14:val="tx1"/>
            </w14:solidFill>
          </w14:textFill>
        </w:rPr>
        <w:t>；交易所市场挂牌转让的资产支持证券，采用估值技术确定公允价值。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2、处于未上市期间的有价证券应区分如下情况处理：</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1）送股、转增股、配股和公开增发的新股，按估值日在证券交易所挂牌的同一股票的估值方法估值；该日无交易的，以最近一日的市价（收盘价）估值；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2）首次公开发行未上市的股票，采用估值技术确定公允价值，在估值技术难以可靠计量公允价值的情况下，按成本估值；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14:textFill>
            <w14:solidFill>
              <w14:schemeClr w14:val="tx1"/>
            </w14:solidFill>
          </w14:textFill>
        </w:rPr>
        <w:t>3</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bookmarkStart w:id="38" w:name="_Hlk202189618"/>
      <w:r>
        <w:rPr>
          <w:rFonts w:hint="eastAsia"/>
          <w:bCs/>
          <w:color w:val="000000" w:themeColor="text1"/>
          <w:sz w:val="24"/>
          <w:szCs w:val="24"/>
          <w:lang w:val="en-US"/>
          <w14:textFill>
            <w14:solidFill>
              <w14:schemeClr w14:val="tx1"/>
            </w14:solidFill>
          </w14:textFill>
        </w:rPr>
        <w:t>（4）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在当前情况下适用并且有足够可利用数据和其他信息支持的估值技术确定其公允价值。</w:t>
      </w:r>
    </w:p>
    <w:bookmarkEnd w:id="38"/>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w:t>
      </w:r>
      <w:bookmarkStart w:id="39" w:name="_Hlk203138080"/>
      <w:r>
        <w:rPr>
          <w:rFonts w:hint="eastAsia"/>
          <w:color w:val="000000" w:themeColor="text1"/>
          <w:sz w:val="24"/>
          <w:szCs w:val="24"/>
          <w14:textFill>
            <w14:solidFill>
              <w14:schemeClr w14:val="tx1"/>
            </w14:solidFill>
          </w14:textFill>
        </w:rPr>
        <w:t>对于未上市或未挂牌转让且不存在活跃市场的固定收益品种，采用估值技术确定其公允价值。</w:t>
      </w:r>
      <w:bookmarkEnd w:id="39"/>
    </w:p>
    <w:p>
      <w:pPr>
        <w:spacing w:line="360" w:lineRule="auto"/>
        <w:ind w:firstLine="480" w:firstLineChars="200"/>
        <w:rPr>
          <w:rFonts w:hint="eastAsia"/>
          <w:bCs/>
          <w:color w:val="000000" w:themeColor="text1"/>
          <w:sz w:val="24"/>
          <w14:textFill>
            <w14:solidFill>
              <w14:schemeClr w14:val="tx1"/>
            </w14:solidFill>
          </w14:textFill>
        </w:rPr>
      </w:pPr>
      <w:r>
        <w:rPr>
          <w:rFonts w:hint="eastAsia"/>
          <w:color w:val="000000" w:themeColor="text1"/>
          <w:sz w:val="24"/>
          <w:szCs w:val="24"/>
          <w:lang w:val="en-US"/>
          <w14:textFill>
            <w14:solidFill>
              <w14:schemeClr w14:val="tx1"/>
            </w14:solidFill>
          </w14:textFill>
        </w:rPr>
        <w:t>4、</w:t>
      </w:r>
      <w:r>
        <w:rPr>
          <w:color w:val="000000" w:themeColor="text1"/>
          <w:sz w:val="24"/>
          <w:szCs w:val="24"/>
          <w14:textFill>
            <w14:solidFill>
              <w14:schemeClr w14:val="tx1"/>
            </w14:solidFill>
          </w14:textFill>
        </w:rPr>
        <w:t>对于含投资人回售权的固定收益品种，</w:t>
      </w:r>
      <w:r>
        <w:rPr>
          <w:rFonts w:hint="eastAsia"/>
          <w:color w:val="000000" w:themeColor="text1"/>
          <w:sz w:val="24"/>
          <w:szCs w:val="24"/>
          <w14:textFill>
            <w14:solidFill>
              <w14:schemeClr w14:val="tx1"/>
            </w14:solidFill>
          </w14:textFill>
        </w:rPr>
        <w:t>行使回售权的，在</w:t>
      </w:r>
      <w:bookmarkStart w:id="40" w:name="_Hlk202189753"/>
      <w:r>
        <w:rPr>
          <w:rFonts w:hint="eastAsia"/>
          <w:color w:val="000000" w:themeColor="text1"/>
          <w:sz w:val="24"/>
          <w:szCs w:val="24"/>
          <w14:textFill>
            <w14:solidFill>
              <w14:schemeClr w14:val="tx1"/>
            </w14:solidFill>
          </w14:textFill>
        </w:rPr>
        <w:t>回售登记日至实际收款日期间选取第三方估值机构提供的相应品种的唯一估值全价或推荐估值全价，同时充分考虑发行人的信用风险变化对公允价值的影响；</w:t>
      </w:r>
      <w:bookmarkEnd w:id="40"/>
      <w:r>
        <w:rPr>
          <w:rFonts w:hint="eastAsia"/>
          <w:bCs/>
          <w:color w:val="000000" w:themeColor="text1"/>
          <w:sz w:val="24"/>
          <w14:textFill>
            <w14:solidFill>
              <w14:schemeClr w14:val="tx1"/>
            </w14:solidFill>
          </w14:textFill>
        </w:rPr>
        <w:t>回售登记期截止日（含当日）后未行使回售权的按照长待偿期所对应的价格进行估值。</w:t>
      </w:r>
    </w:p>
    <w:p>
      <w:pPr>
        <w:spacing w:line="360" w:lineRule="auto"/>
        <w:ind w:firstLine="480" w:firstLineChars="200"/>
        <w:rPr>
          <w:rFonts w:hint="eastAsia"/>
          <w:bCs/>
          <w:color w:val="000000" w:themeColor="text1"/>
          <w:sz w:val="24"/>
          <w:lang w:val="en-US"/>
          <w14:textFill>
            <w14:solidFill>
              <w14:schemeClr w14:val="tx1"/>
            </w14:solidFill>
          </w14:textFill>
        </w:rPr>
      </w:pPr>
      <w:bookmarkStart w:id="41" w:name="_Hlk203138145"/>
      <w:r>
        <w:rPr>
          <w:rFonts w:hint="eastAsia"/>
          <w:bCs/>
          <w:color w:val="000000" w:themeColor="text1"/>
          <w:sz w:val="24"/>
          <w:lang w:val="en-US"/>
          <w14:textFill>
            <w14:solidFill>
              <w14:schemeClr w14:val="tx1"/>
            </w14:solidFill>
          </w14:textFill>
        </w:rPr>
        <w:t>5、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bookmarkEnd w:id="41"/>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6</w:t>
      </w:r>
      <w:r>
        <w:rPr>
          <w:color w:val="000000" w:themeColor="text1"/>
          <w:sz w:val="24"/>
          <w:szCs w:val="24"/>
          <w14:textFill>
            <w14:solidFill>
              <w14:schemeClr w14:val="tx1"/>
            </w14:solidFill>
          </w14:textFill>
        </w:rPr>
        <w:t>、同一</w:t>
      </w:r>
      <w:r>
        <w:rPr>
          <w:rFonts w:hint="eastAsia"/>
          <w:color w:val="000000" w:themeColor="text1"/>
          <w:sz w:val="24"/>
          <w:szCs w:val="24"/>
          <w:lang w:val="en-US"/>
          <w14:textFill>
            <w14:solidFill>
              <w14:schemeClr w14:val="tx1"/>
            </w14:solidFill>
          </w14:textFill>
        </w:rPr>
        <w:t>证券</w:t>
      </w:r>
      <w:r>
        <w:rPr>
          <w:color w:val="000000" w:themeColor="text1"/>
          <w:sz w:val="24"/>
          <w:szCs w:val="24"/>
          <w14:textFill>
            <w14:solidFill>
              <w14:schemeClr w14:val="tx1"/>
            </w14:solidFill>
          </w14:textFill>
        </w:rPr>
        <w:t>同时在两个或两个以上市场交易的，按</w:t>
      </w:r>
      <w:r>
        <w:rPr>
          <w:rFonts w:hint="eastAsia"/>
          <w:color w:val="000000" w:themeColor="text1"/>
          <w:sz w:val="24"/>
          <w:szCs w:val="24"/>
          <w:lang w:val="en-US"/>
          <w14:textFill>
            <w14:solidFill>
              <w14:schemeClr w14:val="tx1"/>
            </w14:solidFill>
          </w14:textFill>
        </w:rPr>
        <w:t>证券</w:t>
      </w:r>
      <w:r>
        <w:rPr>
          <w:color w:val="000000" w:themeColor="text1"/>
          <w:sz w:val="24"/>
          <w:szCs w:val="24"/>
          <w14:textFill>
            <w14:solidFill>
              <w14:schemeClr w14:val="tx1"/>
            </w14:solidFill>
          </w14:textFill>
        </w:rPr>
        <w:t>所处的市场分别估值。</w:t>
      </w:r>
    </w:p>
    <w:p>
      <w:pPr>
        <w:spacing w:line="360" w:lineRule="auto"/>
        <w:ind w:firstLine="480" w:firstLineChars="200"/>
        <w:jc w:val="both"/>
        <w:rPr>
          <w:rFonts w:hint="eastAsia"/>
          <w:color w:val="000000" w:themeColor="text1"/>
          <w:sz w:val="24"/>
          <w:szCs w:val="24"/>
          <w14:textFill>
            <w14:solidFill>
              <w14:schemeClr w14:val="tx1"/>
            </w14:solidFill>
          </w14:textFill>
        </w:rPr>
      </w:pPr>
      <w:bookmarkStart w:id="42" w:name="_Hlk202189947"/>
      <w:r>
        <w:rPr>
          <w:rFonts w:hint="eastAsia"/>
          <w:color w:val="000000" w:themeColor="text1"/>
          <w:sz w:val="24"/>
          <w:szCs w:val="24"/>
          <w:lang w:val="en-US"/>
          <w14:textFill>
            <w14:solidFill>
              <w14:schemeClr w14:val="tx1"/>
            </w14:solidFill>
          </w14:textFill>
        </w:rPr>
        <w:t>7</w:t>
      </w:r>
      <w:r>
        <w:rPr>
          <w:color w:val="000000" w:themeColor="text1"/>
          <w:sz w:val="24"/>
          <w:szCs w:val="24"/>
          <w14:textFill>
            <w14:solidFill>
              <w14:schemeClr w14:val="tx1"/>
            </w14:solidFill>
          </w14:textFill>
        </w:rPr>
        <w:t>、本基金投资</w:t>
      </w:r>
      <w:r>
        <w:rPr>
          <w:rFonts w:hint="eastAsia"/>
          <w:color w:val="000000" w:themeColor="text1"/>
          <w:sz w:val="24"/>
          <w:szCs w:val="24"/>
          <w14:textFill>
            <w14:solidFill>
              <w14:schemeClr w14:val="tx1"/>
            </w14:solidFill>
          </w14:textFill>
        </w:rPr>
        <w:t>国债</w:t>
      </w:r>
      <w:r>
        <w:rPr>
          <w:color w:val="000000" w:themeColor="text1"/>
          <w:sz w:val="24"/>
          <w:szCs w:val="24"/>
          <w14:textFill>
            <w14:solidFill>
              <w14:schemeClr w14:val="tx1"/>
            </w14:solidFill>
          </w14:textFill>
        </w:rPr>
        <w:t>期货合约，一般以估值当日结算价进行估值，估值当日无结算价的，且最近交易日后经济环境未发生重大变化的，采用最近交易日结算价估值。</w:t>
      </w:r>
    </w:p>
    <w:bookmarkEnd w:id="42"/>
    <w:p>
      <w:pPr>
        <w:spacing w:line="360" w:lineRule="auto"/>
        <w:ind w:firstLine="480" w:firstLineChars="200"/>
        <w:jc w:val="both"/>
        <w:rPr>
          <w:rFonts w:hint="eastAsia"/>
          <w:color w:val="000000" w:themeColor="text1"/>
          <w:sz w:val="24"/>
          <w:szCs w:val="24"/>
          <w14:textFill>
            <w14:solidFill>
              <w14:schemeClr w14:val="tx1"/>
            </w14:solidFill>
          </w14:textFill>
        </w:rPr>
      </w:pPr>
      <w:bookmarkStart w:id="43" w:name="_Hlk202189976"/>
      <w:r>
        <w:rPr>
          <w:rFonts w:hint="eastAsia"/>
          <w:color w:val="000000" w:themeColor="text1"/>
          <w:sz w:val="24"/>
          <w:szCs w:val="24"/>
          <w:lang w:val="en-US"/>
          <w14:textFill>
            <w14:solidFill>
              <w14:schemeClr w14:val="tx1"/>
            </w14:solidFill>
          </w14:textFill>
        </w:rPr>
        <w:t>8</w:t>
      </w:r>
      <w:r>
        <w:rPr>
          <w:rFonts w:hint="eastAsia"/>
          <w:color w:val="000000" w:themeColor="text1"/>
          <w:sz w:val="24"/>
          <w:szCs w:val="24"/>
          <w14:textFill>
            <w14:solidFill>
              <w14:schemeClr w14:val="tx1"/>
            </w14:solidFill>
          </w14:textFill>
        </w:rPr>
        <w:t>、本基金投资存托凭证的估值核算，依照境内上市交易的股票执行。</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9</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本</w:t>
      </w:r>
      <w:r>
        <w:rPr>
          <w:color w:val="000000" w:themeColor="text1"/>
          <w:sz w:val="24"/>
          <w:szCs w:val="24"/>
          <w14:textFill>
            <w14:solidFill>
              <w14:schemeClr w14:val="tx1"/>
            </w14:solidFill>
          </w14:textFill>
        </w:rPr>
        <w:t>基金持有的银行定期存款或通知存款以本金列示，按协议或合同利率逐日确认利息收入。</w:t>
      </w:r>
    </w:p>
    <w:bookmarkEnd w:id="43"/>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10</w:t>
      </w:r>
      <w:r>
        <w:rPr>
          <w:color w:val="000000" w:themeColor="text1"/>
          <w:sz w:val="24"/>
          <w:szCs w:val="24"/>
          <w14:textFill>
            <w14:solidFill>
              <w14:schemeClr w14:val="tx1"/>
            </w14:solidFill>
          </w14:textFill>
        </w:rPr>
        <w:t>、本基金可以采用第三方估值机构按照上述公允价值确定原则提供的估值价格数据。</w:t>
      </w:r>
    </w:p>
    <w:bookmarkEnd w:id="35"/>
    <w:p>
      <w:pPr>
        <w:spacing w:line="360" w:lineRule="auto"/>
        <w:ind w:firstLine="480" w:firstLineChars="200"/>
        <w:jc w:val="both"/>
        <w:rPr>
          <w:rFonts w:hint="eastAsia"/>
          <w:color w:val="000000" w:themeColor="text1"/>
          <w:sz w:val="24"/>
          <w:szCs w:val="24"/>
          <w14:textFill>
            <w14:solidFill>
              <w14:schemeClr w14:val="tx1"/>
            </w14:solidFill>
          </w14:textFill>
        </w:rPr>
      </w:pPr>
      <w:bookmarkStart w:id="44" w:name="_Hlk203138361"/>
      <w:bookmarkStart w:id="45" w:name="_Hlk178101911"/>
      <w:r>
        <w:rPr>
          <w:rFonts w:hint="eastAsia"/>
          <w:color w:val="000000" w:themeColor="text1"/>
          <w:sz w:val="24"/>
          <w:szCs w:val="24"/>
          <w14:textFill>
            <w14:solidFill>
              <w14:schemeClr w14:val="tx1"/>
            </w14:solidFill>
          </w14:textFill>
        </w:rPr>
        <w:t>1</w:t>
      </w:r>
      <w:r>
        <w:rPr>
          <w:rFonts w:hint="eastAsia"/>
          <w:color w:val="000000" w:themeColor="text1"/>
          <w:sz w:val="24"/>
          <w:szCs w:val="24"/>
          <w:lang w:val="en-US"/>
          <w14:textFill>
            <w14:solidFill>
              <w14:schemeClr w14:val="tx1"/>
            </w14:solidFill>
          </w14:textFill>
        </w:rPr>
        <w:t>1</w:t>
      </w:r>
      <w:r>
        <w:rPr>
          <w:rFonts w:hint="eastAsia"/>
          <w:color w:val="000000" w:themeColor="text1"/>
          <w:sz w:val="24"/>
          <w:szCs w:val="24"/>
          <w14:textFill>
            <w14:solidFill>
              <w14:schemeClr w14:val="tx1"/>
            </w14:solidFill>
          </w14:textFill>
        </w:rPr>
        <w:t>、债券回购以协议成本列示，按协议利率在实际持有期内逐日计提利息。</w:t>
      </w:r>
    </w:p>
    <w:bookmarkEnd w:id="44"/>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color w:val="000000" w:themeColor="text1"/>
          <w:sz w:val="24"/>
          <w:szCs w:val="24"/>
          <w:lang w:val="en-US"/>
          <w14:textFill>
            <w14:solidFill>
              <w14:schemeClr w14:val="tx1"/>
            </w14:solidFill>
          </w14:textFill>
        </w:rPr>
        <w:t>2</w:t>
      </w:r>
      <w:r>
        <w:rPr>
          <w:color w:val="000000" w:themeColor="text1"/>
          <w:sz w:val="24"/>
          <w:szCs w:val="24"/>
          <w14:textFill>
            <w14:solidFill>
              <w14:schemeClr w14:val="tx1"/>
            </w14:solidFill>
          </w14:textFill>
        </w:rPr>
        <w:t>、</w:t>
      </w:r>
      <w:bookmarkStart w:id="46" w:name="_Hlk202190264"/>
      <w:r>
        <w:rPr>
          <w:rFonts w:hint="eastAsia"/>
          <w:color w:val="000000" w:themeColor="text1"/>
          <w:sz w:val="24"/>
          <w:szCs w:val="24"/>
          <w14:textFill>
            <w14:solidFill>
              <w14:schemeClr w14:val="tx1"/>
            </w14:solidFill>
          </w14:textFill>
        </w:rPr>
        <w:t>在基金估值日，港股通标的股票按其在香港联合交易所的收盘价估值；估值日无交易的，以最近交易日的收盘价估值。在基金估值日，港股通投资持有外币证券资产估值涉及到港币对人民币汇率的，可参考当日中国人民银行或其授权机构公布的人民币汇率中间价，或其他可以反映公允价值的汇率进行估值。</w:t>
      </w:r>
      <w:bookmarkEnd w:id="46"/>
    </w:p>
    <w:p>
      <w:pPr>
        <w:spacing w:line="360" w:lineRule="auto"/>
        <w:ind w:firstLine="480" w:firstLineChars="200"/>
        <w:jc w:val="both"/>
        <w:rPr>
          <w:rFonts w:hint="eastAsia"/>
          <w:color w:val="000000" w:themeColor="text1"/>
          <w:sz w:val="24"/>
          <w:szCs w:val="24"/>
          <w14:textFill>
            <w14:solidFill>
              <w14:schemeClr w14:val="tx1"/>
            </w14:solidFill>
          </w14:textFill>
        </w:rPr>
      </w:pPr>
      <w:bookmarkStart w:id="47" w:name="_Hlk202190313"/>
      <w:r>
        <w:rPr>
          <w:rFonts w:hint="eastAsia"/>
          <w:color w:val="000000" w:themeColor="text1"/>
          <w:sz w:val="24"/>
          <w:szCs w:val="24"/>
          <w14:textFill>
            <w14:solidFill>
              <w14:schemeClr w14:val="tx1"/>
            </w14:solidFill>
          </w14:textFill>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bookmarkEnd w:id="47"/>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color w:val="000000" w:themeColor="text1"/>
          <w:sz w:val="24"/>
          <w:szCs w:val="24"/>
          <w:lang w:val="en-US"/>
          <w14:textFill>
            <w14:solidFill>
              <w14:schemeClr w14:val="tx1"/>
            </w14:solidFill>
          </w14:textFill>
        </w:rPr>
        <w:t>3</w:t>
      </w:r>
      <w:r>
        <w:rPr>
          <w:rFonts w:hint="eastAsia"/>
          <w:color w:val="000000" w:themeColor="text1"/>
          <w:sz w:val="24"/>
          <w:szCs w:val="24"/>
          <w14:textFill>
            <w14:solidFill>
              <w14:schemeClr w14:val="tx1"/>
            </w14:solidFill>
          </w14:textFill>
        </w:rPr>
        <w:t>、如有确凿证据表明按上述方法进行估值不能客观反映其公允价值的，基金管理人可根据具体情况与基金托管人商定后，按最能反映公允价值的价格估值。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color w:val="000000" w:themeColor="text1"/>
          <w:sz w:val="24"/>
          <w:szCs w:val="24"/>
          <w:lang w:val="en-US"/>
          <w14:textFill>
            <w14:solidFill>
              <w14:schemeClr w14:val="tx1"/>
            </w14:solidFill>
          </w14:textFill>
        </w:rPr>
        <w:t>4</w:t>
      </w:r>
      <w:r>
        <w:rPr>
          <w:rFonts w:hint="eastAsia"/>
          <w:color w:val="000000" w:themeColor="text1"/>
          <w:sz w:val="24"/>
          <w:szCs w:val="24"/>
          <w14:textFill>
            <w14:solidFill>
              <w14:schemeClr w14:val="tx1"/>
            </w14:solidFill>
          </w14:textFill>
        </w:rPr>
        <w:t>、当发生大额申购或赎回情形时，基金管理人可以采用摆动定价机制，以确保基金估值的公平性。</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color w:val="000000" w:themeColor="text1"/>
          <w:sz w:val="24"/>
          <w:szCs w:val="24"/>
          <w:lang w:val="en-US"/>
          <w14:textFill>
            <w14:solidFill>
              <w14:schemeClr w14:val="tx1"/>
            </w14:solidFill>
          </w14:textFill>
        </w:rPr>
        <w:t>5</w:t>
      </w:r>
      <w:r>
        <w:rPr>
          <w:color w:val="000000" w:themeColor="text1"/>
          <w:sz w:val="24"/>
          <w:szCs w:val="24"/>
          <w14:textFill>
            <w14:solidFill>
              <w14:schemeClr w14:val="tx1"/>
            </w14:solidFill>
          </w14:textFill>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bookmarkEnd w:id="45"/>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color w:val="000000" w:themeColor="text1"/>
          <w:sz w:val="24"/>
          <w:szCs w:val="24"/>
          <w:lang w:val="en-US"/>
          <w14:textFill>
            <w14:solidFill>
              <w14:schemeClr w14:val="tx1"/>
            </w14:solidFill>
          </w14:textFill>
        </w:rPr>
        <w:t>6</w:t>
      </w:r>
      <w:r>
        <w:rPr>
          <w:color w:val="000000" w:themeColor="text1"/>
          <w:sz w:val="24"/>
          <w:szCs w:val="24"/>
          <w14:textFill>
            <w14:solidFill>
              <w14:schemeClr w14:val="tx1"/>
            </w14:solidFill>
          </w14:textFill>
        </w:rPr>
        <w:t>、相关法律法规以及监管部门有强制规定的，从其规定。如有新增事项，按国家最新规定估值。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由此给基金份额持有人和基金造成的损失以及因该交易日基金资产净值计算顺延错误而引起的损失，基金托管人不承担任何责任。</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五、估值程序</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各类</w:t>
      </w:r>
      <w:r>
        <w:rPr>
          <w:color w:val="000000" w:themeColor="text1"/>
          <w:sz w:val="24"/>
          <w:szCs w:val="24"/>
          <w14:textFill>
            <w14:solidFill>
              <w14:schemeClr w14:val="tx1"/>
            </w14:solidFill>
          </w14:textFill>
        </w:rPr>
        <w:t>基金份额净值是按照每个估值日闭市后，</w:t>
      </w:r>
      <w:r>
        <w:rPr>
          <w:rFonts w:hint="eastAsia"/>
          <w:color w:val="000000" w:themeColor="text1"/>
          <w:sz w:val="24"/>
          <w:szCs w:val="24"/>
          <w14:textFill>
            <w14:solidFill>
              <w14:schemeClr w14:val="tx1"/>
            </w14:solidFill>
          </w14:textFill>
        </w:rPr>
        <w:t>各类基金份额的</w:t>
      </w:r>
      <w:r>
        <w:rPr>
          <w:color w:val="000000" w:themeColor="text1"/>
          <w:sz w:val="24"/>
          <w:szCs w:val="24"/>
          <w14:textFill>
            <w14:solidFill>
              <w14:schemeClr w14:val="tx1"/>
            </w14:solidFill>
          </w14:textFill>
        </w:rPr>
        <w:t>基金资产净值除以当日</w:t>
      </w:r>
      <w:r>
        <w:rPr>
          <w:rFonts w:hint="eastAsia"/>
          <w:color w:val="000000" w:themeColor="text1"/>
          <w:sz w:val="24"/>
          <w:szCs w:val="24"/>
          <w14:textFill>
            <w14:solidFill>
              <w14:schemeClr w14:val="tx1"/>
            </w14:solidFill>
          </w14:textFill>
        </w:rPr>
        <w:t>该类基金份额</w:t>
      </w:r>
      <w:r>
        <w:rPr>
          <w:color w:val="000000" w:themeColor="text1"/>
          <w:sz w:val="24"/>
          <w:szCs w:val="24"/>
          <w14:textFill>
            <w14:solidFill>
              <w14:schemeClr w14:val="tx1"/>
            </w14:solidFill>
          </w14:textFill>
        </w:rPr>
        <w:t>的余额数量计算，均精确到0.0001元，小数点后第5位四舍五入，由此产生的误差计入基金财产。基金管理人可以设立大额赎回情形下的净值精度应急调整机制。</w:t>
      </w:r>
      <w:r>
        <w:rPr>
          <w:rFonts w:hint="eastAsia"/>
          <w:color w:val="000000" w:themeColor="text1"/>
          <w:sz w:val="24"/>
          <w:szCs w:val="24"/>
          <w14:textFill>
            <w14:solidFill>
              <w14:schemeClr w14:val="tx1"/>
            </w14:solidFill>
          </w14:textFill>
        </w:rPr>
        <w:t>遇特殊情况，为保护基金份额持有人利益，基金管理人与基金托管人协商一致，可阶段性调整基金份额净值计算精度并进行相应公告，无需召开基金份额持有人大会审议。</w:t>
      </w:r>
      <w:r>
        <w:rPr>
          <w:color w:val="000000" w:themeColor="text1"/>
          <w:sz w:val="24"/>
          <w:szCs w:val="24"/>
          <w14:textFill>
            <w14:solidFill>
              <w14:schemeClr w14:val="tx1"/>
            </w14:solidFill>
          </w14:textFill>
        </w:rPr>
        <w:t>国家另有规定的，从其规定。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2、基金管理人每个估值日对基金资产估值，但基金管理人根据法律法规或本基金合同的规定暂停估值时除外。基金管理人每个估值日对基金资产估值后，将</w:t>
      </w:r>
      <w:r>
        <w:rPr>
          <w:rFonts w:hint="eastAsia"/>
          <w:color w:val="000000" w:themeColor="text1"/>
          <w:sz w:val="24"/>
          <w:szCs w:val="24"/>
          <w14:textFill>
            <w14:solidFill>
              <w14:schemeClr w14:val="tx1"/>
            </w14:solidFill>
          </w14:textFill>
        </w:rPr>
        <w:t>各类</w:t>
      </w:r>
      <w:r>
        <w:rPr>
          <w:color w:val="000000" w:themeColor="text1"/>
          <w:sz w:val="24"/>
          <w:szCs w:val="24"/>
          <w14:textFill>
            <w14:solidFill>
              <w14:schemeClr w14:val="tx1"/>
            </w14:solidFill>
          </w14:textFill>
        </w:rPr>
        <w:t>基金份额净值结果发送基金托管人，经基金托管人复核无误后，由基金管理人按照规定对外公布。</w:t>
      </w:r>
      <w:r>
        <w:rPr>
          <w:rFonts w:hint="eastAsia"/>
          <w:color w:val="000000" w:themeColor="text1"/>
          <w:sz w:val="24"/>
          <w:szCs w:val="24"/>
          <w14:textFill>
            <w14:solidFill>
              <w14:schemeClr w14:val="tx1"/>
            </w14:solidFill>
          </w14:textFill>
        </w:rPr>
        <w:t>如遇特殊情况，经履行适当程序，可以适当延迟计算或公告。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六、估值错误的处理</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基金管理人和基金托管人将采取必要、适当、合理的措施确保基金资产估值的准确性、及时性。当某一类基金份额净值小数点后</w:t>
      </w:r>
      <w:r>
        <w:rPr>
          <w:color w:val="000000" w:themeColor="text1"/>
          <w:sz w:val="24"/>
          <w:szCs w:val="24"/>
          <w14:textFill>
            <w14:solidFill>
              <w14:schemeClr w14:val="tx1"/>
            </w14:solidFill>
          </w14:textFill>
        </w:rPr>
        <w:t>4位以内（含第4位）发生估值错误时，视为</w:t>
      </w:r>
      <w:r>
        <w:rPr>
          <w:rFonts w:hint="eastAsia"/>
          <w:color w:val="000000" w:themeColor="text1"/>
          <w:sz w:val="24"/>
          <w:szCs w:val="24"/>
          <w14:textFill>
            <w14:solidFill>
              <w14:schemeClr w14:val="tx1"/>
            </w14:solidFill>
          </w14:textFill>
        </w:rPr>
        <w:t>该类</w:t>
      </w:r>
      <w:r>
        <w:rPr>
          <w:color w:val="000000" w:themeColor="text1"/>
          <w:sz w:val="24"/>
          <w:szCs w:val="24"/>
          <w14:textFill>
            <w14:solidFill>
              <w14:schemeClr w14:val="tx1"/>
            </w14:solidFill>
          </w14:textFill>
        </w:rPr>
        <w:t>基金份额净值错误。本基金合同的当事人应按照以下约定处理：</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1、估值错误类型</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本基金运作过程中，如果由于基金管理人，或基金托管人，或投资人自身的原因造成估值错误，导致其他当事人遭受损失的，责任人应当对由于该估值错误遭受损失当事人</w:t>
      </w:r>
      <w:r>
        <w:rPr>
          <w:color w:val="000000" w:themeColor="text1"/>
          <w:sz w:val="24"/>
          <w:szCs w:val="24"/>
          <w14:textFill>
            <w14:solidFill>
              <w14:schemeClr w14:val="tx1"/>
            </w14:solidFill>
          </w14:textFill>
        </w:rPr>
        <w:t>(“受损方”)的直接损失按下述“估值错误处理原则”给予赔偿，承担赔偿责任。</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上述估值错误的主要类型包括但不限于：资料申报差错、数据传输差错、数据计算差错、系统故障差错、下达指令差错等。</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2、估值错误处理原则</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有协助义务的当事人应当承担相应赔偿责任。估值错误责任方应对更正的情况向有关当事人进行确认，确保估值错误已得到更正。</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1）估值错误的责任方对有关当事人的直接损失负责，不对间接损失负责，并且仅对估值错误的有关直接当事人负责，不对第三方负责。</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3）估值错误调整采用尽量恢复至假设未发生估值错误的正确情形的方式。</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3、估值错误处理程序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估值错误被发现后，有关的当事人应当及时进行处理，处理的程序如下：</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1）查明估值错误发生的原因，列明所有的当事人，并根据估值错误发生的原因确定估值错误的责任方；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2）根据估值错误处理原则或当事人协商的方法对因估值错误造成的损失进行评估；</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3）根据估值错误处理原则或当事人协商的方法由估值错误的责任方进行更正和赔偿损失；</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4）根据估值错误处理的方法，需要修改基金登记机构交易数据的，由基金登记机构进行更正，并就估值错误的更正向有关当事人进行确认。</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4、基金份额净值估值错误处理的方法如下：</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1）基金份额净值计算出现错误时，基金管理人和基金托管人应当立即予以纠正，并采取合理的措施防止损失进一步扩大</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2）错误偏差达到该类基金份额净值的0.25%时，基金管理人应当通报基金托管人并报中国证监会备案；错误偏差达到该类基金份额净值的0.5%时，基金管理人应当公告，通报基金托管人并报中国证监会备案</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3）如法律法规或监管机关另有规定的，从其规定处理。</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5、特殊情况的处理</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1）基金管理人或基金托管人按本基金合同约定的估值方法</w:t>
      </w:r>
      <w:r>
        <w:rPr>
          <w:rFonts w:hint="eastAsia"/>
          <w:color w:val="000000" w:themeColor="text1"/>
          <w:sz w:val="24"/>
          <w:szCs w:val="24"/>
          <w14:textFill>
            <w14:solidFill>
              <w14:schemeClr w14:val="tx1"/>
            </w14:solidFill>
          </w14:textFill>
        </w:rPr>
        <w:t>的第1</w:t>
      </w:r>
      <w:r>
        <w:rPr>
          <w:rFonts w:hint="eastAsia"/>
          <w:color w:val="000000" w:themeColor="text1"/>
          <w:sz w:val="24"/>
          <w:szCs w:val="24"/>
          <w:lang w:val="en-US"/>
          <w14:textFill>
            <w14:solidFill>
              <w14:schemeClr w14:val="tx1"/>
            </w14:solidFill>
          </w14:textFill>
        </w:rPr>
        <w:t>3</w:t>
      </w:r>
      <w:r>
        <w:rPr>
          <w:rFonts w:hint="eastAsia"/>
          <w:color w:val="000000" w:themeColor="text1"/>
          <w:sz w:val="24"/>
          <w:szCs w:val="24"/>
          <w14:textFill>
            <w14:solidFill>
              <w14:schemeClr w14:val="tx1"/>
            </w14:solidFill>
          </w14:textFill>
        </w:rPr>
        <w:t>项</w:t>
      </w:r>
      <w:r>
        <w:rPr>
          <w:color w:val="000000" w:themeColor="text1"/>
          <w:sz w:val="24"/>
          <w:szCs w:val="24"/>
          <w14:textFill>
            <w14:solidFill>
              <w14:schemeClr w14:val="tx1"/>
            </w14:solidFill>
          </w14:textFill>
        </w:rPr>
        <w:t>进行估值时，所造成的误差不作为基金资产估值错误处理</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w:t>
      </w:r>
      <w:bookmarkStart w:id="48" w:name="_Hlk202190673"/>
      <w:r>
        <w:rPr>
          <w:color w:val="000000" w:themeColor="text1"/>
          <w:sz w:val="24"/>
          <w:szCs w:val="24"/>
          <w14:textFill>
            <w14:solidFill>
              <w14:schemeClr w14:val="tx1"/>
            </w14:solidFill>
          </w14:textFill>
        </w:rPr>
        <w:t>由于不可抗力原因，</w:t>
      </w:r>
      <w:bookmarkEnd w:id="48"/>
      <w:r>
        <w:rPr>
          <w:color w:val="000000" w:themeColor="text1"/>
          <w:sz w:val="24"/>
          <w:szCs w:val="24"/>
          <w14:textFill>
            <w14:solidFill>
              <w14:schemeClr w14:val="tx1"/>
            </w14:solidFill>
          </w14:textFill>
        </w:rPr>
        <w:t>或由于证券、期货交易所、证券经纪机构，或第三方估值机构，或证券登记结算机构等发送的数据错误，</w:t>
      </w:r>
      <w:bookmarkStart w:id="49" w:name="_Hlk202190717"/>
      <w:r>
        <w:rPr>
          <w:color w:val="000000" w:themeColor="text1"/>
          <w:sz w:val="24"/>
          <w:szCs w:val="24"/>
          <w14:textFill>
            <w14:solidFill>
              <w14:schemeClr w14:val="tx1"/>
            </w14:solidFill>
          </w14:textFill>
        </w:rPr>
        <w:t>或国家会计政策、市场规则变更等非基金管理人或基金托管人原因，</w:t>
      </w:r>
      <w:bookmarkEnd w:id="49"/>
      <w:r>
        <w:rPr>
          <w:color w:val="000000" w:themeColor="text1"/>
          <w:sz w:val="24"/>
          <w:szCs w:val="24"/>
          <w14:textFill>
            <w14:solidFill>
              <w14:schemeClr w14:val="tx1"/>
            </w14:solidFill>
          </w14:textFill>
        </w:rPr>
        <w:t>基金管理人和基金托管人虽然已经采取必要、适当、合理的措施进行检查，仍未能发现错误的，由此造成的基金资产估值错误，基金管理人和基金托管人免除赔偿责任，但基金管理人、基金托管人应当积极采取必要的措施减轻或消除由此造成的影响。</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七、暂停估值的情形</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1、基金投资所涉及的证券、期货交易市场</w:t>
      </w:r>
      <w:bookmarkStart w:id="50" w:name="_Hlk202191442"/>
      <w:r>
        <w:rPr>
          <w:color w:val="000000" w:themeColor="text1"/>
          <w:sz w:val="24"/>
          <w:szCs w:val="24"/>
          <w14:textFill>
            <w14:solidFill>
              <w14:schemeClr w14:val="tx1"/>
            </w14:solidFill>
          </w14:textFill>
        </w:rPr>
        <w:t>或外汇市场</w:t>
      </w:r>
      <w:bookmarkEnd w:id="50"/>
      <w:r>
        <w:rPr>
          <w:color w:val="000000" w:themeColor="text1"/>
          <w:sz w:val="24"/>
          <w:szCs w:val="24"/>
          <w14:textFill>
            <w14:solidFill>
              <w14:schemeClr w14:val="tx1"/>
            </w14:solidFill>
          </w14:textFill>
        </w:rPr>
        <w:t>遇法定节假日或因其他原因暂停营业</w:t>
      </w:r>
      <w:bookmarkStart w:id="51" w:name="_Hlk202191457"/>
      <w:r>
        <w:rPr>
          <w:rFonts w:hint="eastAsia"/>
          <w:bCs/>
          <w:color w:val="000000" w:themeColor="text1"/>
          <w:sz w:val="24"/>
          <w14:textFill>
            <w14:solidFill>
              <w14:schemeClr w14:val="tx1"/>
            </w14:solidFill>
          </w14:textFill>
        </w:rPr>
        <w:t>或者基金参与港股通交易且港股通临时停市</w:t>
      </w:r>
      <w:bookmarkEnd w:id="51"/>
      <w:r>
        <w:rPr>
          <w:color w:val="000000" w:themeColor="text1"/>
          <w:sz w:val="24"/>
          <w:szCs w:val="24"/>
          <w14:textFill>
            <w14:solidFill>
              <w14:schemeClr w14:val="tx1"/>
            </w14:solidFill>
          </w14:textFill>
        </w:rPr>
        <w:t>时</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2、因不可抗力致使基金管理人、基金托管人无法准确评估基金资产价值时</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3、当特定资产占前一估值日基金资产净值50%以上的，经与基金托管人协商确认后，基金管理人应当暂停估值</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4、法律法规、中国证监会和基金合同认定的其它情形。</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八、基金净值的确认</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按照《信息披露办法》的规定进行披露。</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九、实施侧袋机制期间的基金资产估值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本基金实施侧袋机制的，应根据本部分的约定对主袋账户资产进行估值并披露主袋账户的基金净值信息，暂停披露侧袋账户基金净值信息。</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1804"/>
        </w:tabs>
        <w:spacing w:before="102"/>
        <w:ind w:right="237"/>
        <w:jc w:val="center"/>
        <w:outlineLvl w:val="0"/>
        <w:rPr>
          <w:rFonts w:hint="eastAsia"/>
          <w:b/>
          <w:bCs/>
          <w:color w:val="000000" w:themeColor="text1"/>
          <w:sz w:val="30"/>
          <w:szCs w:val="30"/>
          <w14:textFill>
            <w14:solidFill>
              <w14:schemeClr w14:val="tx1"/>
            </w14:solidFill>
          </w14:textFill>
        </w:rPr>
      </w:pPr>
      <w:bookmarkStart w:id="52" w:name="_Toc173413671"/>
      <w:r>
        <w:rPr>
          <w:b/>
          <w:bCs/>
          <w:color w:val="000000" w:themeColor="text1"/>
          <w:sz w:val="30"/>
          <w:szCs w:val="30"/>
          <w14:textFill>
            <w14:solidFill>
              <w14:schemeClr w14:val="tx1"/>
            </w14:solidFill>
          </w14:textFill>
        </w:rPr>
        <w:t>第十五部分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基金费用与税收</w:t>
      </w:r>
      <w:bookmarkEnd w:id="52"/>
    </w:p>
    <w:p>
      <w:pPr>
        <w:rPr>
          <w:rFonts w:hint="eastAsia"/>
          <w:b/>
          <w:color w:val="000000" w:themeColor="text1"/>
          <w:sz w:val="30"/>
          <w:szCs w:val="24"/>
          <w14:textFill>
            <w14:solidFill>
              <w14:schemeClr w14:val="tx1"/>
            </w14:solidFill>
          </w14:textFill>
        </w:rPr>
      </w:pP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一、基金费用的种类</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1、基金管理人的管理费</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2、基金托管人的托管费</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3、从C类基金份额的基金财产中计提的销售服务费</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4、</w:t>
      </w:r>
      <w:r>
        <w:rPr>
          <w:bCs/>
          <w:color w:val="000000" w:themeColor="text1"/>
          <w:sz w:val="24"/>
          <w14:textFill>
            <w14:solidFill>
              <w14:schemeClr w14:val="tx1"/>
            </w14:solidFill>
          </w14:textFill>
        </w:rPr>
        <w:t>基金合同生效后与基金相关的信息披露费用</w:t>
      </w:r>
      <w:r>
        <w:rPr>
          <w:rFonts w:hint="eastAsia"/>
          <w:bCs/>
          <w:color w:val="000000" w:themeColor="text1"/>
          <w:sz w:val="24"/>
          <w14:textFill>
            <w14:solidFill>
              <w14:schemeClr w14:val="tx1"/>
            </w14:solidFill>
          </w14:textFill>
        </w:rPr>
        <w:t>，</w:t>
      </w:r>
      <w:bookmarkStart w:id="53" w:name="_Hlk130889214"/>
      <w:r>
        <w:rPr>
          <w:rFonts w:hint="eastAsia"/>
          <w:bCs/>
          <w:color w:val="000000" w:themeColor="text1"/>
          <w:sz w:val="24"/>
          <w14:textFill>
            <w14:solidFill>
              <w14:schemeClr w14:val="tx1"/>
            </w14:solidFill>
          </w14:textFill>
        </w:rPr>
        <w:t>法律法规、中国证监会另有规定的除外</w:t>
      </w:r>
      <w:bookmarkEnd w:id="53"/>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5、基金合同生效后与基金相关的会计师费、律师费、诉讼费和仲裁费</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6、基金份额持有人大会费用</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7、基金的证券、</w:t>
      </w:r>
      <w:r>
        <w:rPr>
          <w:rFonts w:hint="eastAsia"/>
          <w:bCs/>
          <w:color w:val="000000" w:themeColor="text1"/>
          <w:sz w:val="24"/>
          <w:lang w:val="en-US"/>
          <w14:textFill>
            <w14:solidFill>
              <w14:schemeClr w14:val="tx1"/>
            </w14:solidFill>
          </w14:textFill>
        </w:rPr>
        <w:t>期货</w:t>
      </w:r>
      <w:r>
        <w:rPr>
          <w:rFonts w:hint="eastAsia"/>
          <w:bCs/>
          <w:color w:val="000000" w:themeColor="text1"/>
          <w:sz w:val="24"/>
          <w14:textFill>
            <w14:solidFill>
              <w14:schemeClr w14:val="tx1"/>
            </w14:solidFill>
          </w14:textFill>
        </w:rPr>
        <w:t>等</w:t>
      </w:r>
      <w:r>
        <w:rPr>
          <w:bCs/>
          <w:color w:val="000000" w:themeColor="text1"/>
          <w:sz w:val="24"/>
          <w14:textFill>
            <w14:solidFill>
              <w14:schemeClr w14:val="tx1"/>
            </w14:solidFill>
          </w14:textFill>
        </w:rPr>
        <w:t>交易费用</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8、基金的银行汇划费用</w:t>
      </w:r>
      <w:r>
        <w:rPr>
          <w:rFonts w:hint="eastAsia"/>
          <w:bCs/>
          <w:color w:val="000000" w:themeColor="text1"/>
          <w:sz w:val="24"/>
          <w14:textFill>
            <w14:solidFill>
              <w14:schemeClr w14:val="tx1"/>
            </w14:solidFill>
          </w14:textFill>
        </w:rPr>
        <w:t>。</w:t>
      </w:r>
    </w:p>
    <w:p>
      <w:pPr>
        <w:spacing w:line="360" w:lineRule="auto"/>
        <w:ind w:firstLine="480" w:firstLineChars="200"/>
        <w:rPr>
          <w:rFonts w:ascii="Times New Roman" w:hAnsi="Times New Roman" w:cs="Times New Roman"/>
          <w:bCs/>
          <w:color w:val="000000" w:themeColor="text1"/>
          <w:kern w:val="2"/>
          <w:sz w:val="24"/>
          <w:szCs w:val="20"/>
          <w:lang w:val="en-US" w:bidi="ar-SA"/>
          <w14:textFill>
            <w14:solidFill>
              <w14:schemeClr w14:val="tx1"/>
            </w14:solidFill>
          </w14:textFill>
        </w:rPr>
      </w:pPr>
      <w:r>
        <w:rPr>
          <w:bCs/>
          <w:color w:val="000000" w:themeColor="text1"/>
          <w:sz w:val="24"/>
          <w14:textFill>
            <w14:solidFill>
              <w14:schemeClr w14:val="tx1"/>
            </w14:solidFill>
          </w14:textFill>
        </w:rPr>
        <w:t>9、基金的账户开户费用、账户维护费用</w:t>
      </w:r>
      <w:r>
        <w:rPr>
          <w:rFonts w:hint="eastAsia"/>
          <w:bCs/>
          <w:color w:val="000000" w:themeColor="text1"/>
          <w:sz w:val="24"/>
          <w14:textFill>
            <w14:solidFill>
              <w14:schemeClr w14:val="tx1"/>
            </w14:solidFill>
          </w14:textFill>
        </w:rPr>
        <w:t>。</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10</w:t>
      </w:r>
      <w:r>
        <w:rPr>
          <w:rFonts w:ascii="Times New Roman" w:hAnsi="Times New Roman" w:cs="Times New Roman"/>
          <w:bCs/>
          <w:color w:val="000000" w:themeColor="text1"/>
          <w:kern w:val="2"/>
          <w:sz w:val="24"/>
          <w:szCs w:val="20"/>
          <w:lang w:val="en-US" w:bidi="ar-SA"/>
          <w14:textFill>
            <w14:solidFill>
              <w14:schemeClr w14:val="tx1"/>
            </w14:solidFill>
          </w14:textFill>
        </w:rPr>
        <w:t>、因投资港股通标的股票而产生的各项费用</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11</w:t>
      </w:r>
      <w:r>
        <w:rPr>
          <w:rFonts w:ascii="Times New Roman" w:hAnsi="Times New Roman" w:cs="Times New Roman"/>
          <w:bCs/>
          <w:color w:val="000000" w:themeColor="text1"/>
          <w:kern w:val="2"/>
          <w:sz w:val="24"/>
          <w:szCs w:val="20"/>
          <w:lang w:val="en-US" w:bidi="ar-SA"/>
          <w14:textFill>
            <w14:solidFill>
              <w14:schemeClr w14:val="tx1"/>
            </w14:solidFill>
          </w14:textFill>
        </w:rPr>
        <w:t>、按照国家有关规定和</w:t>
      </w:r>
      <w:r>
        <w:rPr>
          <w:bCs/>
          <w:color w:val="000000" w:themeColor="text1"/>
          <w:sz w:val="24"/>
          <w14:textFill>
            <w14:solidFill>
              <w14:schemeClr w14:val="tx1"/>
            </w14:solidFill>
          </w14:textFill>
        </w:rPr>
        <w:t>基金合同</w:t>
      </w:r>
      <w:r>
        <w:rPr>
          <w:rFonts w:ascii="Times New Roman" w:hAnsi="Times New Roman" w:cs="Times New Roman"/>
          <w:bCs/>
          <w:color w:val="000000" w:themeColor="text1"/>
          <w:kern w:val="2"/>
          <w:sz w:val="24"/>
          <w:szCs w:val="20"/>
          <w:lang w:val="en-US" w:bidi="ar-SA"/>
          <w14:textFill>
            <w14:solidFill>
              <w14:schemeClr w14:val="tx1"/>
            </w14:solidFill>
          </w14:textFill>
        </w:rPr>
        <w:t>约定，可以在基金财产中列支的其他费用。</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二、基金费用计提方法、计提标准和支付方式</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1、基金管理人的管理费</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本基金的管理费按前一日基金资产净值的</w:t>
      </w:r>
      <w:r>
        <w:rPr>
          <w:rFonts w:hint="eastAsia"/>
          <w:bCs/>
          <w:color w:val="000000" w:themeColor="text1"/>
          <w:sz w:val="24"/>
          <w:szCs w:val="24"/>
          <w:lang w:val="en-US"/>
          <w14:textFill>
            <w14:solidFill>
              <w14:schemeClr w14:val="tx1"/>
            </w14:solidFill>
          </w14:textFill>
        </w:rPr>
        <w:t>0.60%</w:t>
      </w:r>
      <w:r>
        <w:rPr>
          <w:rFonts w:ascii="Times New Roman" w:hAnsi="Times New Roman" w:cs="Times New Roman"/>
          <w:bCs/>
          <w:color w:val="000000" w:themeColor="text1"/>
          <w:kern w:val="2"/>
          <w:sz w:val="24"/>
          <w:szCs w:val="20"/>
          <w:lang w:val="en-US" w:bidi="ar-SA"/>
          <w14:textFill>
            <w14:solidFill>
              <w14:schemeClr w14:val="tx1"/>
            </w14:solidFill>
          </w14:textFill>
        </w:rPr>
        <w:t>年费率计提。管理费的计算方法如下：</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H＝E×</w:t>
      </w:r>
      <w:r>
        <w:rPr>
          <w:rFonts w:hint="eastAsia"/>
          <w:bCs/>
          <w:color w:val="000000" w:themeColor="text1"/>
          <w:sz w:val="24"/>
          <w:szCs w:val="24"/>
          <w:lang w:val="en-US"/>
          <w14:textFill>
            <w14:solidFill>
              <w14:schemeClr w14:val="tx1"/>
            </w14:solidFill>
          </w14:textFill>
        </w:rPr>
        <w:t>0.60%</w:t>
      </w:r>
      <w:r>
        <w:rPr>
          <w:rFonts w:ascii="Times New Roman" w:hAnsi="Times New Roman" w:cs="Times New Roman"/>
          <w:bCs/>
          <w:color w:val="000000" w:themeColor="text1"/>
          <w:kern w:val="2"/>
          <w:sz w:val="24"/>
          <w:szCs w:val="20"/>
          <w:lang w:val="en-US" w:bidi="ar-SA"/>
          <w14:textFill>
            <w14:solidFill>
              <w14:schemeClr w14:val="tx1"/>
            </w14:solidFill>
          </w14:textFill>
        </w:rPr>
        <w:t>÷当年天数</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H为每日应计提的基金管理费</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E为前一日的基金资产净值</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基金管理费每日计算，逐日累计至每月月末，按月支付。经基金管理人与基金托管人核对一致后，由基金托管人</w:t>
      </w:r>
      <w:bookmarkStart w:id="54" w:name="_Hlk202193395"/>
      <w:r>
        <w:rPr>
          <w:rFonts w:hint="eastAsia"/>
          <w:bCs/>
          <w:color w:val="000000" w:themeColor="text1"/>
          <w:sz w:val="24"/>
          <w14:textFill>
            <w14:solidFill>
              <w14:schemeClr w14:val="tx1"/>
            </w14:solidFill>
          </w14:textFill>
        </w:rPr>
        <w:t>根据基金管理人指令或者双方认可的方式</w:t>
      </w:r>
      <w:bookmarkEnd w:id="54"/>
      <w:r>
        <w:rPr>
          <w:rFonts w:hint="eastAsia"/>
          <w:bCs/>
          <w:color w:val="000000" w:themeColor="text1"/>
          <w:sz w:val="24"/>
          <w14:textFill>
            <w14:solidFill>
              <w14:schemeClr w14:val="tx1"/>
            </w14:solidFill>
          </w14:textFill>
        </w:rPr>
        <w:t>于次月起3个工作日内从基金财产中一次性支付给基金管理人。若遇法定节假日、</w:t>
      </w:r>
      <w:bookmarkStart w:id="55" w:name="_Hlk202193435"/>
      <w:r>
        <w:rPr>
          <w:rFonts w:hint="eastAsia"/>
          <w:bCs/>
          <w:color w:val="000000" w:themeColor="text1"/>
          <w:sz w:val="24"/>
          <w14:textFill>
            <w14:solidFill>
              <w14:schemeClr w14:val="tx1"/>
            </w14:solidFill>
          </w14:textFill>
        </w:rPr>
        <w:t>休息日或不可抗力致使无法按时支付的</w:t>
      </w:r>
      <w:bookmarkEnd w:id="55"/>
      <w:r>
        <w:rPr>
          <w:rFonts w:hint="eastAsia"/>
          <w:bCs/>
          <w:color w:val="000000" w:themeColor="text1"/>
          <w:sz w:val="24"/>
          <w14:textFill>
            <w14:solidFill>
              <w14:schemeClr w14:val="tx1"/>
            </w14:solidFill>
          </w14:textFill>
        </w:rPr>
        <w:t>，支付日期顺延。</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2、基金托管人的托管费</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本基金的托管费按前一日基金资产净值的</w:t>
      </w:r>
      <w:r>
        <w:rPr>
          <w:rFonts w:hint="eastAsia"/>
          <w:bCs/>
          <w:color w:val="000000" w:themeColor="text1"/>
          <w:sz w:val="24"/>
          <w:szCs w:val="24"/>
          <w:lang w:val="en-US"/>
          <w14:textFill>
            <w14:solidFill>
              <w14:schemeClr w14:val="tx1"/>
            </w14:solidFill>
          </w14:textFill>
        </w:rPr>
        <w:t>0.15%</w:t>
      </w:r>
      <w:r>
        <w:rPr>
          <w:rFonts w:ascii="Times New Roman" w:hAnsi="Times New Roman" w:cs="Times New Roman"/>
          <w:bCs/>
          <w:color w:val="000000" w:themeColor="text1"/>
          <w:kern w:val="2"/>
          <w:sz w:val="24"/>
          <w:szCs w:val="20"/>
          <w:lang w:val="en-US" w:bidi="ar-SA"/>
          <w14:textFill>
            <w14:solidFill>
              <w14:schemeClr w14:val="tx1"/>
            </w14:solidFill>
          </w14:textFill>
        </w:rPr>
        <w:t>年费率计提。托管费的计算方法如下：</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H＝E×</w:t>
      </w:r>
      <w:r>
        <w:rPr>
          <w:rFonts w:hint="eastAsia"/>
          <w:bCs/>
          <w:color w:val="000000" w:themeColor="text1"/>
          <w:sz w:val="24"/>
          <w:szCs w:val="24"/>
          <w:lang w:val="en-US"/>
          <w14:textFill>
            <w14:solidFill>
              <w14:schemeClr w14:val="tx1"/>
            </w14:solidFill>
          </w14:textFill>
        </w:rPr>
        <w:t>0.15%</w:t>
      </w:r>
      <w:r>
        <w:rPr>
          <w:rFonts w:ascii="Times New Roman" w:hAnsi="Times New Roman" w:cs="Times New Roman"/>
          <w:bCs/>
          <w:color w:val="000000" w:themeColor="text1"/>
          <w:kern w:val="2"/>
          <w:sz w:val="24"/>
          <w:szCs w:val="20"/>
          <w:lang w:val="en-US" w:bidi="ar-SA"/>
          <w14:textFill>
            <w14:solidFill>
              <w14:schemeClr w14:val="tx1"/>
            </w14:solidFill>
          </w14:textFill>
        </w:rPr>
        <w:t>÷当年天数</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H为每日应计提的基金托管费</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E为前一日的基金资产净值</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基金托管费每日计算，逐日累计至每月月末，按月支付。经基金管理人与基金托管人核对一致后，由基金托管人</w:t>
      </w:r>
      <w:bookmarkStart w:id="56" w:name="_Hlk202193464"/>
      <w:r>
        <w:rPr>
          <w:rFonts w:hint="eastAsia" w:ascii="Times New Roman" w:hAnsi="Times New Roman" w:cs="Times New Roman"/>
          <w:bCs/>
          <w:color w:val="000000" w:themeColor="text1"/>
          <w:kern w:val="2"/>
          <w:sz w:val="24"/>
          <w:szCs w:val="20"/>
          <w:lang w:val="en-US" w:bidi="ar-SA"/>
          <w14:textFill>
            <w14:solidFill>
              <w14:schemeClr w14:val="tx1"/>
            </w14:solidFill>
          </w14:textFill>
        </w:rPr>
        <w:t>根据基金管理人指令或者双方认可的方式</w:t>
      </w:r>
      <w:bookmarkEnd w:id="56"/>
      <w:r>
        <w:rPr>
          <w:rFonts w:hint="eastAsia" w:ascii="Times New Roman" w:hAnsi="Times New Roman" w:cs="Times New Roman"/>
          <w:bCs/>
          <w:color w:val="000000" w:themeColor="text1"/>
          <w:kern w:val="2"/>
          <w:sz w:val="24"/>
          <w:szCs w:val="20"/>
          <w:lang w:val="en-US" w:bidi="ar-SA"/>
          <w14:textFill>
            <w14:solidFill>
              <w14:schemeClr w14:val="tx1"/>
            </w14:solidFill>
          </w14:textFill>
        </w:rPr>
        <w:t>于次月起</w:t>
      </w:r>
      <w:r>
        <w:rPr>
          <w:rFonts w:hint="eastAsia"/>
          <w:bCs/>
          <w:color w:val="000000" w:themeColor="text1"/>
          <w:sz w:val="24"/>
          <w14:textFill>
            <w14:solidFill>
              <w14:schemeClr w14:val="tx1"/>
            </w14:solidFill>
          </w14:textFill>
        </w:rPr>
        <w:t>3</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个工作日内从基金财产中一次性支取。若遇法定节假日、</w:t>
      </w:r>
      <w:bookmarkStart w:id="57" w:name="_Hlk202193512"/>
      <w:r>
        <w:rPr>
          <w:rFonts w:hint="eastAsia" w:ascii="Times New Roman" w:hAnsi="Times New Roman" w:cs="Times New Roman"/>
          <w:bCs/>
          <w:color w:val="000000" w:themeColor="text1"/>
          <w:kern w:val="2"/>
          <w:sz w:val="24"/>
          <w:szCs w:val="20"/>
          <w:lang w:val="en-US" w:bidi="ar-SA"/>
          <w14:textFill>
            <w14:solidFill>
              <w14:schemeClr w14:val="tx1"/>
            </w14:solidFill>
          </w14:textFill>
        </w:rPr>
        <w:t>休息日或不可抗力致使无法按时支付的</w:t>
      </w:r>
      <w:bookmarkEnd w:id="57"/>
      <w:r>
        <w:rPr>
          <w:rFonts w:hint="eastAsia" w:ascii="Times New Roman" w:hAnsi="Times New Roman" w:cs="Times New Roman"/>
          <w:bCs/>
          <w:color w:val="000000" w:themeColor="text1"/>
          <w:kern w:val="2"/>
          <w:sz w:val="24"/>
          <w:szCs w:val="20"/>
          <w:lang w:val="en-US" w:bidi="ar-SA"/>
          <w14:textFill>
            <w14:solidFill>
              <w14:schemeClr w14:val="tx1"/>
            </w14:solidFill>
          </w14:textFill>
        </w:rPr>
        <w:t>，支付日期顺延。</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3</w:t>
      </w:r>
      <w:r>
        <w:rPr>
          <w:rFonts w:ascii="Times New Roman" w:hAnsi="Times New Roman" w:cs="Times New Roman"/>
          <w:bCs/>
          <w:color w:val="000000" w:themeColor="text1"/>
          <w:kern w:val="2"/>
          <w:sz w:val="24"/>
          <w:szCs w:val="20"/>
          <w:lang w:val="en-US" w:bidi="ar-SA"/>
          <w14:textFill>
            <w14:solidFill>
              <w14:schemeClr w14:val="tx1"/>
            </w14:solidFill>
          </w14:textFill>
        </w:rPr>
        <w:t>、</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销售服务费</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本基金A类基金份额不收取销售服务费，C类基金份额的销售服务费按前一日C类基金份额资产净值的</w:t>
      </w:r>
      <w:r>
        <w:rPr>
          <w:rFonts w:hint="eastAsia"/>
          <w:bCs/>
          <w:color w:val="000000" w:themeColor="text1"/>
          <w:sz w:val="24"/>
          <w:szCs w:val="24"/>
          <w:lang w:val="en-US"/>
          <w14:textFill>
            <w14:solidFill>
              <w14:schemeClr w14:val="tx1"/>
            </w14:solidFill>
          </w14:textFill>
        </w:rPr>
        <w:t>0.20%</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年费率计提。</w:t>
      </w:r>
      <w:r>
        <w:rPr>
          <w:rFonts w:ascii="Times New Roman" w:hAnsi="Times New Roman" w:cs="Times New Roman"/>
          <w:bCs/>
          <w:color w:val="000000" w:themeColor="text1"/>
          <w:kern w:val="2"/>
          <w:sz w:val="24"/>
          <w:szCs w:val="20"/>
          <w:lang w:val="en-US" w:bidi="ar-SA"/>
          <w14:textFill>
            <w14:solidFill>
              <w14:schemeClr w14:val="tx1"/>
            </w14:solidFill>
          </w14:textFill>
        </w:rPr>
        <w:t>计算方法如下：</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H＝E×</w:t>
      </w:r>
      <w:r>
        <w:rPr>
          <w:rFonts w:hint="eastAsia"/>
          <w:bCs/>
          <w:color w:val="000000" w:themeColor="text1"/>
          <w:sz w:val="24"/>
          <w:szCs w:val="24"/>
          <w:lang w:val="en-US"/>
          <w14:textFill>
            <w14:solidFill>
              <w14:schemeClr w14:val="tx1"/>
            </w14:solidFill>
          </w14:textFill>
        </w:rPr>
        <w:t>0.20%</w:t>
      </w:r>
      <w:r>
        <w:rPr>
          <w:rFonts w:ascii="Times New Roman" w:hAnsi="Times New Roman" w:cs="Times New Roman"/>
          <w:bCs/>
          <w:color w:val="000000" w:themeColor="text1"/>
          <w:kern w:val="2"/>
          <w:sz w:val="24"/>
          <w:szCs w:val="20"/>
          <w:lang w:val="en-US" w:bidi="ar-SA"/>
          <w14:textFill>
            <w14:solidFill>
              <w14:schemeClr w14:val="tx1"/>
            </w14:solidFill>
          </w14:textFill>
        </w:rPr>
        <w:t>÷当年天数</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H为C类基金份额每日应计提的销售服务费</w:t>
      </w:r>
    </w:p>
    <w:p>
      <w:pPr>
        <w:autoSpaceDE/>
        <w:autoSpaceDN/>
        <w:spacing w:line="360" w:lineRule="auto"/>
        <w:ind w:firstLine="480" w:firstLineChars="200"/>
        <w:jc w:val="both"/>
        <w:rPr>
          <w:rFonts w:hint="eastAsia"/>
          <w:bCs/>
          <w:color w:val="000000" w:themeColor="text1"/>
          <w:sz w:val="24"/>
          <w14:textFill>
            <w14:solidFill>
              <w14:schemeClr w14:val="tx1"/>
            </w14:solidFill>
          </w14:textFill>
        </w:rPr>
      </w:pPr>
      <w:r>
        <w:rPr>
          <w:rFonts w:ascii="Times New Roman" w:hAnsi="Times New Roman" w:cs="Times New Roman"/>
          <w:bCs/>
          <w:color w:val="000000" w:themeColor="text1"/>
          <w:kern w:val="2"/>
          <w:sz w:val="24"/>
          <w:szCs w:val="20"/>
          <w:lang w:val="en-US" w:bidi="ar-SA"/>
          <w14:textFill>
            <w14:solidFill>
              <w14:schemeClr w14:val="tx1"/>
            </w14:solidFill>
          </w14:textFill>
        </w:rPr>
        <w:t>E为C类基金份额前一日的基金资产净值</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（1）通过基金管理人直销机构认购/申购的C类基金份额</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对于C类基金份额计提的销售服务费将先行收取，但不实际支付给相关机构。在投资者赎回相应基金份额或者基金合同终止时随赎回款或清算款一并返还给投资者，若遇法定节假日、休息日或不可抗力致使无法按时支付的,支付日期顺延；对于转换转出业务，销售服务费将作为转换转出份额对应的款项一并划转至转换转入的基金。</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（2）通过代销机构认购/申购的C类基金份额</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对于投资者持续持有未超过一年（即365天，下同）的C类基金份额计提的销售服务费，逐日累计至每月月末，按月支付。由基金托管人根据基金管理人指令或者双方认可的方式于次月起3个工作日内从基金财产中一次性支付。若遇法定节假日、休息日或不可抗力致使无法按时支付的,支付日期顺延。</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对于投资者持续持有超过一年（不含365天）以后继续计提到的销售服务费（如有）将先行收取，但不实际支付给相关机构。在投资者赎回相应基金份额或者基金合同终止时随赎回款或清算款一并返还给投资者。对于转换转出业务，销售服务费将作为转换转出份额对应的款项一并划转至转换转入的基金。</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销售服务费计提后按规定收取或返还投资者的金额以登记机构的计算结果为准，基金托管人无需复核。</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上述“一、基金费用的种类”中第4</w:t>
      </w:r>
      <w:r>
        <w:rPr>
          <w:rFonts w:ascii="Times New Roman" w:hAnsi="Times New Roman" w:cs="Times New Roman"/>
          <w:bCs/>
          <w:color w:val="000000" w:themeColor="text1"/>
          <w:kern w:val="2"/>
          <w:sz w:val="24"/>
          <w:szCs w:val="20"/>
          <w:lang w:val="en-US" w:bidi="ar-SA"/>
          <w14:textFill>
            <w14:solidFill>
              <w14:schemeClr w14:val="tx1"/>
            </w14:solidFill>
          </w14:textFill>
        </w:rPr>
        <w:t>－1</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1</w:t>
      </w:r>
      <w:r>
        <w:rPr>
          <w:rFonts w:ascii="Times New Roman" w:hAnsi="Times New Roman" w:cs="Times New Roman"/>
          <w:bCs/>
          <w:color w:val="000000" w:themeColor="text1"/>
          <w:kern w:val="2"/>
          <w:sz w:val="24"/>
          <w:szCs w:val="20"/>
          <w:lang w:val="en-US" w:bidi="ar-SA"/>
          <w14:textFill>
            <w14:solidFill>
              <w14:schemeClr w14:val="tx1"/>
            </w14:solidFill>
          </w14:textFill>
        </w:rPr>
        <w:t>项费用，根据有关法规及相应协议规定，按费用实际支出金额列入当期费用，由基金托管人从基金财产中支付。</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三、不列入基金费用的项目</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下列费用不列入基金费用：</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1</w:t>
      </w:r>
      <w:r>
        <w:rPr>
          <w:rFonts w:ascii="Times New Roman" w:hAnsi="Times New Roman" w:cs="Times New Roman"/>
          <w:bCs/>
          <w:color w:val="000000" w:themeColor="text1"/>
          <w:kern w:val="2"/>
          <w:sz w:val="24"/>
          <w:szCs w:val="20"/>
          <w:lang w:val="en-US" w:bidi="ar-SA"/>
          <w14:textFill>
            <w14:solidFill>
              <w14:schemeClr w14:val="tx1"/>
            </w14:solidFill>
          </w14:textFill>
        </w:rPr>
        <w:t>、基金合同生效前的相关费用</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，包括但不限于验资费、会计师费、律师费和信息披露费等费用。</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2、</w:t>
      </w:r>
      <w:r>
        <w:rPr>
          <w:rFonts w:ascii="Times New Roman" w:hAnsi="Times New Roman" w:cs="Times New Roman"/>
          <w:bCs/>
          <w:color w:val="000000" w:themeColor="text1"/>
          <w:kern w:val="2"/>
          <w:sz w:val="24"/>
          <w:szCs w:val="20"/>
          <w:lang w:val="en-US" w:bidi="ar-SA"/>
          <w14:textFill>
            <w14:solidFill>
              <w14:schemeClr w14:val="tx1"/>
            </w14:solidFill>
          </w14:textFill>
        </w:rPr>
        <w:t>基金管理人和基金托管人因未履行或未完全履行义务导致的费用支出或基金财产的损失</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3</w:t>
      </w:r>
      <w:r>
        <w:rPr>
          <w:rFonts w:ascii="Times New Roman" w:hAnsi="Times New Roman" w:cs="Times New Roman"/>
          <w:bCs/>
          <w:color w:val="000000" w:themeColor="text1"/>
          <w:kern w:val="2"/>
          <w:sz w:val="24"/>
          <w:szCs w:val="20"/>
          <w:lang w:val="en-US" w:bidi="ar-SA"/>
          <w14:textFill>
            <w14:solidFill>
              <w14:schemeClr w14:val="tx1"/>
            </w14:solidFill>
          </w14:textFill>
        </w:rPr>
        <w:t>、基金管理人和基金托管人处理与基金运作无关的事项发生的费用</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4、</w:t>
      </w:r>
      <w:r>
        <w:rPr>
          <w:rFonts w:ascii="Times New Roman" w:hAnsi="Times New Roman" w:cs="Times New Roman"/>
          <w:bCs/>
          <w:color w:val="000000" w:themeColor="text1"/>
          <w:kern w:val="2"/>
          <w:sz w:val="24"/>
          <w:szCs w:val="20"/>
          <w:lang w:val="en-US" w:bidi="ar-SA"/>
          <w14:textFill>
            <w14:solidFill>
              <w14:schemeClr w14:val="tx1"/>
            </w14:solidFill>
          </w14:textFill>
        </w:rPr>
        <w:t>其他根据相关法律法规及中国证监会的有关规定不得列入基金费用的项目。</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四、基金综合费用水平</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本基金综合费用水平在招募说明书、产品资料概要或其他披露文件中列示。</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五</w:t>
      </w:r>
      <w:r>
        <w:rPr>
          <w:rFonts w:ascii="Times New Roman" w:hAnsi="Times New Roman" w:cs="Times New Roman"/>
          <w:bCs/>
          <w:color w:val="000000" w:themeColor="text1"/>
          <w:kern w:val="2"/>
          <w:sz w:val="24"/>
          <w:szCs w:val="20"/>
          <w:lang w:val="en-US" w:bidi="ar-SA"/>
          <w14:textFill>
            <w14:solidFill>
              <w14:schemeClr w14:val="tx1"/>
            </w14:solidFill>
          </w14:textFill>
        </w:rPr>
        <w:t>、</w:t>
      </w:r>
      <w:r>
        <w:rPr>
          <w:rFonts w:hint="eastAsia" w:ascii="Times New Roman" w:hAnsi="Times New Roman" w:cs="Times New Roman"/>
          <w:bCs/>
          <w:color w:val="000000" w:themeColor="text1"/>
          <w:kern w:val="2"/>
          <w:sz w:val="24"/>
          <w:szCs w:val="20"/>
          <w:lang w:val="en-US" w:bidi="ar-SA"/>
          <w14:textFill>
            <w14:solidFill>
              <w14:schemeClr w14:val="tx1"/>
            </w14:solidFill>
          </w14:textFill>
        </w:rPr>
        <w:t>实施侧袋机制期间的基金费用</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本基金实施侧袋机制的，与侧袋账户有关的费用可以从侧袋账户中列支，但应待侧袋账户资产变现后方可列支，有关费用可酌情收取或减免，但不得收取管理费，详见招募说明书的规定。</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六、基金税收</w:t>
      </w:r>
    </w:p>
    <w:p>
      <w:pPr>
        <w:autoSpaceDE/>
        <w:autoSpaceDN/>
        <w:spacing w:line="360" w:lineRule="auto"/>
        <w:ind w:firstLine="480" w:firstLineChars="200"/>
        <w:jc w:val="both"/>
        <w:rPr>
          <w:rFonts w:ascii="Times New Roman" w:hAnsi="Times New Roman" w:cs="Times New Roman"/>
          <w:bCs/>
          <w:color w:val="000000" w:themeColor="text1"/>
          <w:kern w:val="2"/>
          <w:sz w:val="24"/>
          <w:szCs w:val="20"/>
          <w:lang w:val="en-US" w:bidi="ar-SA"/>
          <w14:textFill>
            <w14:solidFill>
              <w14:schemeClr w14:val="tx1"/>
            </w14:solidFill>
          </w14:textFill>
        </w:rPr>
      </w:pPr>
      <w:r>
        <w:rPr>
          <w:rFonts w:hint="eastAsia" w:ascii="Times New Roman" w:hAnsi="Times New Roman" w:cs="Times New Roman"/>
          <w:bCs/>
          <w:color w:val="000000" w:themeColor="text1"/>
          <w:kern w:val="2"/>
          <w:sz w:val="24"/>
          <w:szCs w:val="20"/>
          <w:lang w:val="en-US" w:bidi="ar-SA"/>
          <w14:textFill>
            <w14:solidFill>
              <w14:schemeClr w14:val="tx1"/>
            </w14:solidFill>
          </w14:textFill>
        </w:rPr>
        <w:t>本基金运作过程中涉及的各纳税主体，其纳税义务按国家税收法律、法规执行，但本基金运作过程中应缴纳的增值税、附加税费等税费由基金财产承担，按照税务机关的要求以基金管理人名义缴纳。</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1804"/>
        </w:tabs>
        <w:spacing w:before="102"/>
        <w:ind w:right="237"/>
        <w:jc w:val="center"/>
        <w:outlineLvl w:val="0"/>
        <w:rPr>
          <w:rFonts w:hint="eastAsia"/>
          <w:b/>
          <w:bCs/>
          <w:color w:val="000000" w:themeColor="text1"/>
          <w:sz w:val="30"/>
          <w:szCs w:val="30"/>
          <w14:textFill>
            <w14:solidFill>
              <w14:schemeClr w14:val="tx1"/>
            </w14:solidFill>
          </w14:textFill>
        </w:rPr>
      </w:pPr>
      <w:bookmarkStart w:id="58" w:name="_Toc173413672"/>
      <w:r>
        <w:rPr>
          <w:b/>
          <w:bCs/>
          <w:color w:val="000000" w:themeColor="text1"/>
          <w:sz w:val="30"/>
          <w:szCs w:val="30"/>
          <w14:textFill>
            <w14:solidFill>
              <w14:schemeClr w14:val="tx1"/>
            </w14:solidFill>
          </w14:textFill>
        </w:rPr>
        <w:t>第十六部分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基金的收益与分配</w:t>
      </w:r>
      <w:bookmarkEnd w:id="58"/>
    </w:p>
    <w:p>
      <w:pPr>
        <w:spacing w:before="1"/>
        <w:rPr>
          <w:rFonts w:hint="eastAsia"/>
          <w:b/>
          <w:color w:val="000000" w:themeColor="text1"/>
          <w:sz w:val="40"/>
          <w:szCs w:val="24"/>
          <w14:textFill>
            <w14:solidFill>
              <w14:schemeClr w14:val="tx1"/>
            </w14:solidFill>
          </w14:textFill>
        </w:rPr>
      </w:pP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一、基金利润的构成</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基金利润指基金利息收入、投资收益、公允价值变动收益和其他收入扣除相关费用后的余额，基金已实现收益指基金利润减去公允价值变动收益后的余额。</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二、基金可供分配利润</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基金可供分配利润指截至收益分配基准日基金未分配利润与未分配利润中已实现收益的孰低数。</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三、基金收益分配原则</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1、在符合有关基金分红条件的前提下，</w:t>
      </w:r>
      <w:bookmarkStart w:id="59" w:name="_Hlk202192334"/>
      <w:r>
        <w:rPr>
          <w:rFonts w:hint="eastAsia"/>
          <w:color w:val="000000" w:themeColor="text1"/>
          <w:sz w:val="24"/>
          <w:szCs w:val="24"/>
          <w14:textFill>
            <w14:solidFill>
              <w14:schemeClr w14:val="tx1"/>
            </w14:solidFill>
          </w14:textFill>
        </w:rPr>
        <w:t>基金管理人可以根据实际情况进行收益分配，具体分配方案</w:t>
      </w:r>
      <w:bookmarkStart w:id="60" w:name="_Hlk202359455"/>
      <w:r>
        <w:rPr>
          <w:rFonts w:hint="eastAsia"/>
          <w:color w:val="000000" w:themeColor="text1"/>
          <w:sz w:val="24"/>
          <w:szCs w:val="24"/>
          <w14:textFill>
            <w14:solidFill>
              <w14:schemeClr w14:val="tx1"/>
            </w14:solidFill>
          </w14:textFill>
        </w:rPr>
        <w:t>详见届时基金管理人发布的公告</w:t>
      </w:r>
      <w:bookmarkEnd w:id="60"/>
      <w:r>
        <w:rPr>
          <w:rFonts w:hint="eastAsia"/>
          <w:color w:val="000000" w:themeColor="text1"/>
          <w:sz w:val="24"/>
          <w:szCs w:val="24"/>
          <w14:textFill>
            <w14:solidFill>
              <w14:schemeClr w14:val="tx1"/>
            </w14:solidFill>
          </w14:textFill>
        </w:rPr>
        <w:t>，</w:t>
      </w:r>
      <w:bookmarkEnd w:id="59"/>
      <w:r>
        <w:rPr>
          <w:rFonts w:hint="eastAsia"/>
          <w:color w:val="000000" w:themeColor="text1"/>
          <w:sz w:val="24"/>
          <w:szCs w:val="24"/>
          <w14:textFill>
            <w14:solidFill>
              <w14:schemeClr w14:val="tx1"/>
            </w14:solidFill>
          </w14:textFill>
        </w:rPr>
        <w:t>若基金合同生效不满 3 个月可不进行收益分配。</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2、本基金收益分配方式分两种：现金分红与红利再投资，投资者可选择现金红利或将现金红利自动转为相应类别的基金份额进行再投资；默认的收益分配方式是现金分红。</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3、基金收益分配后基金份额净值不能低于面值；即基金收益分配基准日的某一类基金份额净值减去该类份额每单位基金份额收益分配金额后不能低于面值。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bookmarkStart w:id="61" w:name="_Hlk202274021"/>
      <w:r>
        <w:rPr>
          <w:rFonts w:hint="eastAsia"/>
          <w:color w:val="000000" w:themeColor="text1"/>
          <w:sz w:val="24"/>
          <w:szCs w:val="24"/>
          <w14:textFill>
            <w14:solidFill>
              <w14:schemeClr w14:val="tx1"/>
            </w14:solidFill>
          </w14:textFill>
        </w:rPr>
        <w:t>本基金A类与C类基金份额在基金费用收取上不同，其对应的可分配收益可能有所不同。</w:t>
      </w:r>
      <w:bookmarkEnd w:id="61"/>
      <w:r>
        <w:rPr>
          <w:rFonts w:hint="eastAsia"/>
          <w:color w:val="000000" w:themeColor="text1"/>
          <w:sz w:val="24"/>
          <w:szCs w:val="24"/>
          <w14:textFill>
            <w14:solidFill>
              <w14:schemeClr w14:val="tx1"/>
            </w14:solidFill>
          </w14:textFill>
        </w:rPr>
        <w:t>本基金不同份额类别基金份额，其分红相互独立、互不影响。同一类别内的每一基金份额享有同等分配权。</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5、法律法规或监管机关另有规定的，从其规定。</w:t>
      </w:r>
    </w:p>
    <w:p>
      <w:pPr>
        <w:spacing w:line="360" w:lineRule="auto"/>
        <w:ind w:firstLine="480" w:firstLineChars="200"/>
        <w:jc w:val="both"/>
        <w:rPr>
          <w:rFonts w:hint="eastAsia"/>
          <w:color w:val="000000" w:themeColor="text1"/>
          <w:sz w:val="24"/>
          <w:szCs w:val="24"/>
          <w14:textFill>
            <w14:solidFill>
              <w14:schemeClr w14:val="tx1"/>
            </w14:solidFill>
          </w14:textFill>
        </w:rPr>
      </w:pPr>
      <w:bookmarkStart w:id="62" w:name="_Hlk202192824"/>
      <w:r>
        <w:rPr>
          <w:rFonts w:hint="eastAsia"/>
          <w:color w:val="000000" w:themeColor="text1"/>
          <w:sz w:val="24"/>
          <w:szCs w:val="24"/>
          <w14:textFill>
            <w14:solidFill>
              <w14:schemeClr w14:val="tx1"/>
            </w14:solidFill>
          </w14:textFill>
        </w:rPr>
        <w:t>在符合法律法规及基金合同约定，并对基金份额持有人利益无实质不利影响的前提下，基金管理人</w:t>
      </w:r>
      <w:r>
        <w:rPr>
          <w:color w:val="000000" w:themeColor="text1"/>
          <w:sz w:val="24"/>
          <w:szCs w:val="24"/>
          <w14:textFill>
            <w14:solidFill>
              <w14:schemeClr w14:val="tx1"/>
            </w14:solidFill>
          </w14:textFill>
        </w:rPr>
        <w:t>经与基金托管人协商一致并按照监管部门要求履行适当程序后</w:t>
      </w:r>
      <w:r>
        <w:rPr>
          <w:rFonts w:hint="eastAsia"/>
          <w:color w:val="000000" w:themeColor="text1"/>
          <w:sz w:val="24"/>
          <w:szCs w:val="24"/>
          <w14:textFill>
            <w14:solidFill>
              <w14:schemeClr w14:val="tx1"/>
            </w14:solidFill>
          </w14:textFill>
        </w:rPr>
        <w:t>可对基金收益分配原则和支付方式进行调整，于变更实施日前按照《信息披露办法》的要求在规定媒介公告。</w:t>
      </w:r>
    </w:p>
    <w:bookmarkEnd w:id="62"/>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四、收益分配方案</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基金收益分配方案中应载明截至收益分配基准日的可供分配利润、基金收益分配对象、分配时间、分配数额及比例、分配方式等内容。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五、收益分配方案的确定、公告与实施</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本基金收益分配方案由基金管理人拟定，并由基金托管人复核，基金管理人依照《信息披露办法》的有关规定在规定媒介公告。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六、基金收益分配中发生的费用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七、实施侧袋机制期间的收益分配</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本基金实施侧袋机制的，侧袋账户不进行收益分配，详见招募说明书的规定。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1804"/>
        </w:tabs>
        <w:spacing w:before="102"/>
        <w:ind w:right="237"/>
        <w:jc w:val="center"/>
        <w:outlineLvl w:val="0"/>
        <w:rPr>
          <w:rFonts w:hint="eastAsia"/>
          <w:b/>
          <w:bCs/>
          <w:color w:val="000000" w:themeColor="text1"/>
          <w:sz w:val="30"/>
          <w:szCs w:val="30"/>
          <w14:textFill>
            <w14:solidFill>
              <w14:schemeClr w14:val="tx1"/>
            </w14:solidFill>
          </w14:textFill>
        </w:rPr>
      </w:pPr>
      <w:bookmarkStart w:id="63" w:name="_Toc173413673"/>
      <w:r>
        <w:rPr>
          <w:b/>
          <w:bCs/>
          <w:color w:val="000000" w:themeColor="text1"/>
          <w:sz w:val="30"/>
          <w:szCs w:val="30"/>
          <w14:textFill>
            <w14:solidFill>
              <w14:schemeClr w14:val="tx1"/>
            </w14:solidFill>
          </w14:textFill>
        </w:rPr>
        <w:t>第十七部分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基金的会计与审计</w:t>
      </w:r>
      <w:bookmarkEnd w:id="63"/>
    </w:p>
    <w:p>
      <w:pPr>
        <w:rPr>
          <w:rFonts w:hint="eastAsia"/>
          <w:b/>
          <w:color w:val="000000" w:themeColor="text1"/>
          <w:sz w:val="30"/>
          <w:szCs w:val="24"/>
          <w14:textFill>
            <w14:solidFill>
              <w14:schemeClr w14:val="tx1"/>
            </w14:solidFill>
          </w14:textFill>
        </w:rPr>
      </w:pP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一、基金会计政策</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1、基金管理人为本基金的基金会计责任方</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2、基金的会计年度为公历年度的1月1日至12月31日；基金首次募集的会计年度按如下原则：如果基金合同生效少于</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个月，可以并入下一个会计年度披露</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3、基金核算以人民币为记账本位币，以人民币元为记账单位</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4、会计制度执行国家有关会计制度</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5、本基金独立建账、独立核算</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6、基金管理人及基金托管人各自保留完整的会计账目、凭证并进行日常的会计核算，按照有关规定编制基金会计报表</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7、基金托管人每月与基金管理人就基金的会计核算、报表编制等进行核对并以书面方式确认。</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二、基金的年度审计</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1、基金管理人聘请与基金管理人、基金托管人相互独立的</w:t>
      </w:r>
      <w:bookmarkStart w:id="64" w:name="_Hlk202274984"/>
      <w:r>
        <w:rPr>
          <w:rFonts w:hint="eastAsia"/>
          <w:color w:val="000000" w:themeColor="text1"/>
          <w:sz w:val="24"/>
          <w:szCs w:val="24"/>
          <w14:textFill>
            <w14:solidFill>
              <w14:schemeClr w14:val="tx1"/>
            </w14:solidFill>
          </w14:textFill>
        </w:rPr>
        <w:t>符合《中华人民共和国证券法》规定</w:t>
      </w:r>
      <w:bookmarkEnd w:id="64"/>
      <w:r>
        <w:rPr>
          <w:rFonts w:hint="eastAsia"/>
          <w:color w:val="000000" w:themeColor="text1"/>
          <w:sz w:val="24"/>
          <w:szCs w:val="24"/>
          <w14:textFill>
            <w14:solidFill>
              <w14:schemeClr w14:val="tx1"/>
            </w14:solidFill>
          </w14:textFill>
        </w:rPr>
        <w:t>的</w:t>
      </w:r>
      <w:r>
        <w:rPr>
          <w:color w:val="000000" w:themeColor="text1"/>
          <w:sz w:val="24"/>
          <w:szCs w:val="24"/>
          <w14:textFill>
            <w14:solidFill>
              <w14:schemeClr w14:val="tx1"/>
            </w14:solidFill>
          </w14:textFill>
        </w:rPr>
        <w:t>会计师事务所及其注册会计师对本基金的年度财务报表进行审计。</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2、会计师事务所更换经办注册会计师，应事先征得基金管理人同意。</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3、基金管理人认为有充足理由更换会计师事务所，须通报基金托管人。更换会计师事务所需依照《信息披露办法》的有关规定在规定媒介公告。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1804"/>
        </w:tabs>
        <w:spacing w:before="102"/>
        <w:ind w:right="237"/>
        <w:jc w:val="center"/>
        <w:outlineLvl w:val="0"/>
        <w:rPr>
          <w:rFonts w:hint="eastAsia"/>
          <w:b/>
          <w:bCs/>
          <w:color w:val="000000" w:themeColor="text1"/>
          <w:sz w:val="30"/>
          <w:szCs w:val="30"/>
          <w14:textFill>
            <w14:solidFill>
              <w14:schemeClr w14:val="tx1"/>
            </w14:solidFill>
          </w14:textFill>
        </w:rPr>
      </w:pPr>
      <w:bookmarkStart w:id="65" w:name="_Toc173413674"/>
      <w:r>
        <w:rPr>
          <w:b/>
          <w:bCs/>
          <w:color w:val="000000" w:themeColor="text1"/>
          <w:sz w:val="30"/>
          <w:szCs w:val="30"/>
          <w14:textFill>
            <w14:solidFill>
              <w14:schemeClr w14:val="tx1"/>
            </w14:solidFill>
          </w14:textFill>
        </w:rPr>
        <w:t>第十八部分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基金的信息披露</w:t>
      </w:r>
      <w:bookmarkEnd w:id="65"/>
    </w:p>
    <w:p>
      <w:pPr>
        <w:rPr>
          <w:rFonts w:hint="eastAsia"/>
          <w:b/>
          <w:color w:val="000000" w:themeColor="text1"/>
          <w:sz w:val="30"/>
          <w:szCs w:val="24"/>
          <w14:textFill>
            <w14:solidFill>
              <w14:schemeClr w14:val="tx1"/>
            </w14:solidFill>
          </w14:textFill>
        </w:rPr>
      </w:pPr>
    </w:p>
    <w:p>
      <w:pPr>
        <w:spacing w:line="360" w:lineRule="auto"/>
        <w:ind w:firstLine="480" w:firstLineChars="200"/>
        <w:jc w:val="both"/>
        <w:rPr>
          <w:rFonts w:hint="eastAsia"/>
          <w:color w:val="000000" w:themeColor="text1"/>
          <w:sz w:val="24"/>
          <w:szCs w:val="24"/>
          <w14:textFill>
            <w14:solidFill>
              <w14:schemeClr w14:val="tx1"/>
            </w14:solidFill>
          </w14:textFill>
        </w:rPr>
      </w:pPr>
      <w:bookmarkStart w:id="66" w:name="OLE_LINK15"/>
      <w:bookmarkStart w:id="67" w:name="OLE_LINK14"/>
      <w:r>
        <w:rPr>
          <w:rFonts w:hint="eastAsia"/>
          <w:color w:val="000000" w:themeColor="text1"/>
          <w:sz w:val="24"/>
          <w:szCs w:val="24"/>
          <w14:textFill>
            <w14:solidFill>
              <w14:schemeClr w14:val="tx1"/>
            </w14:solidFill>
          </w14:textFill>
        </w:rPr>
        <w:t>一、本基金的信息披露应符合《基金法》、《运作办法》、《信息披露办法》、《流动性风险管理规定》、基金合同及其他有关规定。相关法律法规或监管机关就基金的信息披露做出新的规定或予以调整的，本基金按照其最新规定执行，无需基金份额持有人大会审议批准。</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二、信息披露义务人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本基金信息披露义务人包括基金管理人、基金托管人、召集基金份额持有人大会的基金份额持有人等法律法规和中国证监会规定的自然人、法人和非法人组织。</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本基金信息披露义务人以保护基金份额持有人利益为根本出发点，按照法律法规和中国证监会的规定披露基金信息，并保证所披露信息的真实性、准确性、完整性、及时性、简明性和易得性。</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三、本基金信息披露义务人承诺公开披露的基金信息，不得有下列行为：</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1、虚假记载、误导性陈述或者重大遗漏；</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2、对证券投资业绩进行预测；</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3、违规承诺收益或者承担损失；</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4、诋毁其他基金管理人、基金托管人或者基金销售机构；</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5、登载任何自然人、法人和非法人组织的祝贺性、恭维性或推荐性的文字；</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法律、行政法规和</w:t>
      </w:r>
      <w:r>
        <w:rPr>
          <w:color w:val="000000" w:themeColor="text1"/>
          <w:sz w:val="24"/>
          <w:szCs w:val="24"/>
          <w14:textFill>
            <w14:solidFill>
              <w14:schemeClr w14:val="tx1"/>
            </w14:solidFill>
          </w14:textFill>
        </w:rPr>
        <w:t>中国证监会禁止的其他行为。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四、本基金公开披露的信息应采用中文文本。同时采用外文文本的，基金信息披露义务人应保证不同文本的内容一致。不同文本之间发生歧义的，以中文文本为准。</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本基金公开披露的信息采用阿拉伯数字；除特别说明外，货币单位为人民币元。</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五、公开披露的基金信息</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公开披露的基金信息包括：</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（一）基金招募说明书、基金合同、基金托管协议、基金产品资料概要</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1、基金合同是界定基金合同当事人的各项权利、义务关系，明确基金份额持有人大会召开的规则及具体程序，说明基金产品的特性等涉及基金投资者重大利益的事项的法律文件。</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基金招募说明书应当按照法律法规和监管要求披露影响基金投资者决策的全部事项，说明基金认购、申购和赎回安排、基金投资、基金产品特性、风险揭示、信息披露及基金份额持有人服务等内容。基金合同生效后，基金招募说明书的信息发生重大变更的，基金管理人应当在</w:t>
      </w: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个工作日内，更新基金招募说明书并登载在规定网站上；基金招募说明书其他信息发生变更的，基金管理人至少每年更新一次。基金终止运作的，基金管理人不再更新基金招募说明书。</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3、基金托管协议是界定基金托管人和基金管理人在基金财产保管及基金运作监督等活动中的权利、义务关系的法律文件。</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4、基金产品资料概要是基金招募说明书的摘要文件，用于向投资者提供简明的基金概要信息。基金合同生效后，基金产品资料概要的信息发生重大变更的，基金管理人应当在</w:t>
      </w: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募集申请经中国证监会注册后，基金管理人应当按照《信息披露办法》的规定，在基金份额发售的3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（二）基金份额发售公告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基金管理人应当就基金份额发售的具体事宜编制基金份额发售公告，并在披露招募说明书的当日按照《信息披露办法》的规定登载于规定媒介上。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（三）基金合同生效公告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基金管理人应当在收到中国证监会确认文件的次日按照《信息披露办法》的规定在规定媒介上登载基金合同生效公告。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（四）基金净值信息</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基金合同生效后，在开始办理基金份额申购或者赎回前，基金管理人应当至少每周在规定网站披露一次各类基金份额净值和基金份额累计净值。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在开始办理基金份额申购或者赎回后，基金管理人应当在不晚于每个开放日的次日，通过规定网站、基金销售机构网站或者营业网点，披露开放日的各类基金份额净值和基金份额累计净值。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基金管理人应当在不晚于半年度和年度最后一日的次日，在规定网站披露半年度和年度最后一日的各类基金份额净值和基金份额累计净值。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（五）基金份额申购、赎回价格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基金管理人应当在基金合同、招募说明书等信息披露文件上载明各类基金份额申购、赎回价格的计算方式及有关申购、赎回费率，并保证投资者能够在基金销售机构网站或营业网点查阅或者复制前述信息资料。</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（六）基金定期报告，包括基金年度报告、基金中期报告和基金季度报告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基金管理人应当在每年结束之日起3个月内，编制完成基金年度报告，将年度报告登载在规定网站上，并将年度报告提示性公告登载在规定报刊上。基金年度报告中的财务会计报告应当经</w:t>
      </w:r>
      <w:bookmarkStart w:id="68" w:name="_Hlk202275850"/>
      <w:r>
        <w:rPr>
          <w:rFonts w:hint="eastAsia"/>
          <w:color w:val="000000" w:themeColor="text1"/>
          <w:sz w:val="24"/>
          <w:szCs w:val="24"/>
          <w14:textFill>
            <w14:solidFill>
              <w14:schemeClr w14:val="tx1"/>
            </w14:solidFill>
          </w14:textFill>
        </w:rPr>
        <w:t>符合《中华人民共和国证券法》规定</w:t>
      </w:r>
      <w:bookmarkEnd w:id="68"/>
      <w:r>
        <w:rPr>
          <w:rFonts w:hint="eastAsia"/>
          <w:color w:val="000000" w:themeColor="text1"/>
          <w:sz w:val="24"/>
          <w:szCs w:val="24"/>
          <w14:textFill>
            <w14:solidFill>
              <w14:schemeClr w14:val="tx1"/>
            </w14:solidFill>
          </w14:textFill>
        </w:rPr>
        <w:t>的会计师事务所审计。</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基金管理人应当在上半年结束之日起2个月内，编制完成基金中期报告，将中期报告登载在规定网站上，并将中期报告提示性公告登载在规定报刊上。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基金管理人应当在季度结束之日起15个工作日内，编制完成基金季度报告，将季度报告登载在规定网站上，并将季度报告提示性公告登载在规定报刊上。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基金合同生效不足2</w:t>
      </w:r>
      <w:r>
        <w:rPr>
          <w:color w:val="000000" w:themeColor="text1"/>
          <w:sz w:val="24"/>
          <w:szCs w:val="24"/>
          <w14:textFill>
            <w14:solidFill>
              <w14:schemeClr w14:val="tx1"/>
            </w14:solidFill>
          </w14:textFill>
        </w:rPr>
        <w:t>个月的，基金管理人可以不编制当期季度报告、中期报告或者年度报告。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如报告期内出现单一投资者持有基金份额达到或超过基金总份额</w:t>
      </w:r>
      <w:r>
        <w:rPr>
          <w:color w:val="000000" w:themeColor="text1"/>
          <w:sz w:val="24"/>
          <w:szCs w:val="24"/>
          <w14:textFill>
            <w14:solidFill>
              <w14:schemeClr w14:val="tx1"/>
            </w14:solidFill>
          </w14:textFill>
        </w:rPr>
        <w:t>20%的情形，为保障其他投资者的权益，基金管理人至少应当在定期报告“影响投资者决</w:t>
      </w:r>
      <w:r>
        <w:rPr>
          <w:rFonts w:hint="eastAsia"/>
          <w:color w:val="000000" w:themeColor="text1"/>
          <w:sz w:val="24"/>
          <w:szCs w:val="24"/>
          <w14:textFill>
            <w14:solidFill>
              <w14:schemeClr w14:val="tx1"/>
            </w14:solidFill>
          </w14:textFill>
        </w:rPr>
        <w:t>策的其他重要信息”项下披露该投资者的类别、报告期末持有份额及占比、报告期内持有份额变化情况及本基金的特有风险，中国证监会认定的特殊情形除外。</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基金管理人应当在基金年度报告和中期报告中披露基金组合资产情况及其流动性风险分析等。</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（七）临时报告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本基金发生重大事件，有关信息披露义务人应当依照《信息披露办法》的有关规定编制临时报告书，并登载在规定报刊和规定网站上。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前款所称重大事件，是指可能对基金份额持有人权益或者基金份额的价格产生重大影响的下列事件：</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1、基金份额持有人大会的召开及决定的事项</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2、本基金合同终止、基金清算</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3、本基金转换基金运作方式、与其他基金合并</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4、本基金更换基金管理人、基金托管人、基金份额登记机构，本基金改聘会计师事务所</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5、基金管理人委托基金服务机构代为办理基金的份额登记、核算、估值等事项，基金托管人委托基金服务机构代为办理基金的核算、估值、复核等事项</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6、基金管理人、基金托管人的法定名称、住所发生变更</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7、基金管理人变更持有百分之五以上股权的股东、变更基金管理人的实际控制人</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8、本基金募集期延长或提前结束募集</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9、基金管理人高级管理人员、基金经理和基金托管人专门基金托管部门负责人发生变动</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10、基金管理人的董事在最近</w:t>
      </w:r>
      <w:r>
        <w:rPr>
          <w:rFonts w:hint="eastAsia"/>
          <w:color w:val="000000" w:themeColor="text1"/>
          <w:sz w:val="24"/>
          <w:szCs w:val="24"/>
          <w14:textFill>
            <w14:solidFill>
              <w14:schemeClr w14:val="tx1"/>
            </w14:solidFill>
          </w14:textFill>
        </w:rPr>
        <w:t>12</w:t>
      </w:r>
      <w:r>
        <w:rPr>
          <w:color w:val="000000" w:themeColor="text1"/>
          <w:sz w:val="24"/>
          <w:szCs w:val="24"/>
          <w14:textFill>
            <w14:solidFill>
              <w14:schemeClr w14:val="tx1"/>
            </w14:solidFill>
          </w14:textFill>
        </w:rPr>
        <w:t>个月内变更超过百分之五十，基金管理人、基金托管人专门基金托管部门的主要业务人员在最近</w:t>
      </w:r>
      <w:r>
        <w:rPr>
          <w:rFonts w:hint="eastAsia"/>
          <w:color w:val="000000" w:themeColor="text1"/>
          <w:sz w:val="24"/>
          <w:szCs w:val="24"/>
          <w14:textFill>
            <w14:solidFill>
              <w14:schemeClr w14:val="tx1"/>
            </w14:solidFill>
          </w14:textFill>
        </w:rPr>
        <w:t>12</w:t>
      </w:r>
      <w:r>
        <w:rPr>
          <w:color w:val="000000" w:themeColor="text1"/>
          <w:sz w:val="24"/>
          <w:szCs w:val="24"/>
          <w14:textFill>
            <w14:solidFill>
              <w14:schemeClr w14:val="tx1"/>
            </w14:solidFill>
          </w14:textFill>
        </w:rPr>
        <w:t>个月内变动超过百分之三十</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11、涉及基金财产、基金管理业务、基金托管业务的诉讼或仲裁</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12、基金管理人或其高级管理人员、基金经理因基金管理业务相关行为受到重大行政处罚、刑事处罚，基金托管人或其专门基金托管部门负责人因基金托管业务相关行为受到重大行政处罚、刑事处罚</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14、本基金收益分配事项</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15、管理费、托管费、销售服务费、申购费、赎回费等费用计提标准、计提方式和费率发生变更</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16、任一类基金份额净值计价错误达该类基金份额净值百分之零点五</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17、本基金开始办理申购、赎回</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18、本基金发生巨额赎回并延期办理</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19、本基金连续发生巨额赎回并暂停接受赎回申请或延缓支付赎回款项</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20、本基金暂停接受申购、赎回申请或重新接受申购、赎回申请</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21、调整本基金份额类别设置</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22、发生涉及基金申购、赎回事项调整或潜在影响投资者赎回等重大事项时</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23、基金管理人采用摆动定价机制进行估值</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24、基金推出新业务或服务</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25、基金信息披露义务人认为可能对基金份额持有人权益或者基金份额的价格产生重大影响的其他事项或中国证监会规定的其他事项。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（八）澄清公告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（九）基金份额持有人大会决议</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基金份额持有人大会决议，应当依法报中国证监会备案，并予以公告。</w:t>
      </w:r>
    </w:p>
    <w:p>
      <w:pPr>
        <w:spacing w:line="360" w:lineRule="auto"/>
        <w:ind w:firstLine="480" w:firstLineChars="200"/>
        <w:jc w:val="both"/>
        <w:rPr>
          <w:rFonts w:hint="eastAsia"/>
          <w:color w:val="000000" w:themeColor="text1"/>
          <w:sz w:val="24"/>
          <w:szCs w:val="24"/>
          <w14:textFill>
            <w14:solidFill>
              <w14:schemeClr w14:val="tx1"/>
            </w14:solidFill>
          </w14:textFill>
        </w:rPr>
      </w:pPr>
      <w:bookmarkStart w:id="69" w:name="_Hlk203141970"/>
      <w:r>
        <w:rPr>
          <w:rFonts w:hint="eastAsia"/>
          <w:color w:val="000000" w:themeColor="text1"/>
          <w:sz w:val="24"/>
          <w:szCs w:val="24"/>
          <w14:textFill>
            <w14:solidFill>
              <w14:schemeClr w14:val="tx1"/>
            </w14:solidFill>
          </w14:textFill>
        </w:rPr>
        <w:t>基金份额持有人依法自行召集基金份额持有人大会，基金管理人、基金托管人对基金份额持有人大会决定的事项不依法履行信息披露义务的，召集人应当履行相关信息披露义务。</w:t>
      </w:r>
    </w:p>
    <w:bookmarkEnd w:id="69"/>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（十）清算报告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发生基金合同终止事由的，基金管理人应当依法组织基金财产清算小组对基金财产进行清算并制作清算报告。基金财产清算小组应当将清算报告登载在规定网站上，并将清算报告提示性公告登载在规定报刊上。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（十一）实施侧袋机制期间的信息披露</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本基金实施侧袋机制的，相关信息披露义务人应当根据法律法规、基金合同和招募说明书的规定进行信息披露，详见招募说明书的规定。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（十二）投资资产支持证券信息披露</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基金管理人应在基金年度报告及中期报告中披露其持有的资产支持证券总额、资产支持证券市值占基金净资产的比例和报告期内所有的资产支持证券明细。</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基金管理人应在基金季度报告中披露其持有的资产支持证券总额、资产支持证券市值占基金净资产的比例和报告期末按市值占基金净资产比例大小排序的前</w:t>
      </w:r>
      <w:r>
        <w:rPr>
          <w:color w:val="000000" w:themeColor="text1"/>
          <w:sz w:val="24"/>
          <w:szCs w:val="24"/>
          <w14:textFill>
            <w14:solidFill>
              <w14:schemeClr w14:val="tx1"/>
            </w14:solidFill>
          </w14:textFill>
        </w:rPr>
        <w:t>10名资产支持证券明细。</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（十三）投资于国债期货的信息披露</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投资目标。</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（十四）基金投资港股通标的股票的信息披露</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基金应当在季度报告、中期报告、年度报告等定期报告和招募说明书（更新）等文件中披露港股通标的股票的投资情况。</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（十五）中国证监会规定的其他信息</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六、信息披露事务管理</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基金管理人、基金托管人应当建立健全信息披露管理制度，指定专门部门及高级管理人员负责管理信息披露事务。</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基金信息披露义务人公开披露基金信息，应当符合中国证监会相关基金信息披露内容与格式准则等法规的规定。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托管人应当按照相关法律法规、中国证监会的规定和基金合同的约定，对基金管理人编制的基金净值信息、基金份额申购赎回价格、基金定期报告、更新的招募说明书、基金产品资料概要、基金清算报告等公开披露的相关基金信息进行复核、审查，并向基金管理人进行书面或电子确认。</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基金管理人、基金托管人应当在规定报刊中选择一家报刊披露本基金信息。基金管理人、基金托管人应当向中国证监会基金电子披露网站报送拟披露的基金信息，并保证相关报送信息的真实、准确、完整、及时。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基金管理人、基金托管人除依法在规定媒介上披露信息外，还可以根据需要在其他公共媒介披露信息，但是其他公共媒介不得早于规定媒介披露信息，并且在不同媒介上披露同一信息的内容应当一致。</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为基金信息披露义务人公开披露的基金信息出具审计报告、法律意见书的专业机构，应当制作工作底稿，相关档案的保存期限不低于法律法规规定的最低年限。</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七、信息披露文件的存放与查阅</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依法必须披露的信息发布后，基金管理人、基金托管人应当按照相关法律法规规定将信息置备于公司住所，供社会公众查阅、复制。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八、暂停或延迟信息披露的情形</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当出现下述情况时，基金管理人和基金托管人可暂停或延迟披露基金信息：</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1、基金投资所涉及的证券、期货交易所或外汇市场遇法定节假日或因其他原因暂停营业</w:t>
      </w:r>
      <w:r>
        <w:rPr>
          <w:rFonts w:hint="eastAsia"/>
          <w:color w:val="000000" w:themeColor="text1"/>
          <w:sz w:val="24"/>
          <w:szCs w:val="24"/>
          <w14:textFill>
            <w14:solidFill>
              <w14:schemeClr w14:val="tx1"/>
            </w14:solidFill>
          </w14:textFill>
        </w:rPr>
        <w:t>或者基金参与港股通交易且港股通临时停市</w:t>
      </w:r>
      <w:r>
        <w:rPr>
          <w:color w:val="000000" w:themeColor="text1"/>
          <w:sz w:val="24"/>
          <w:szCs w:val="24"/>
          <w14:textFill>
            <w14:solidFill>
              <w14:schemeClr w14:val="tx1"/>
            </w14:solidFill>
          </w14:textFill>
        </w:rPr>
        <w:t>时</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2、因不可抗力或其他情形致使基金管理人、基金托管人无法准确评估基金资产价值时</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发生</w:t>
      </w:r>
      <w:r>
        <w:rPr>
          <w:color w:val="000000" w:themeColor="text1"/>
          <w:sz w:val="24"/>
          <w:szCs w:val="24"/>
          <w14:textFill>
            <w14:solidFill>
              <w14:schemeClr w14:val="tx1"/>
            </w14:solidFill>
          </w14:textFill>
        </w:rPr>
        <w:t>基金合同规定的暂停基金资产估值情形</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4、法律法规规定、中国证监会或基金合同认定的其他情形。</w:t>
      </w:r>
      <w:bookmarkEnd w:id="66"/>
      <w:bookmarkEnd w:id="67"/>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1805"/>
        </w:tabs>
        <w:spacing w:before="102"/>
        <w:ind w:right="233"/>
        <w:jc w:val="center"/>
        <w:outlineLvl w:val="0"/>
        <w:rPr>
          <w:rFonts w:hint="eastAsia"/>
          <w:b/>
          <w:bCs/>
          <w:color w:val="000000" w:themeColor="text1"/>
          <w:sz w:val="30"/>
          <w:szCs w:val="30"/>
          <w14:textFill>
            <w14:solidFill>
              <w14:schemeClr w14:val="tx1"/>
            </w14:solidFill>
          </w14:textFill>
        </w:rPr>
      </w:pPr>
      <w:bookmarkStart w:id="70" w:name="_Toc173413675"/>
      <w:r>
        <w:rPr>
          <w:b/>
          <w:bCs/>
          <w:color w:val="000000" w:themeColor="text1"/>
          <w:sz w:val="30"/>
          <w:szCs w:val="30"/>
          <w14:textFill>
            <w14:solidFill>
              <w14:schemeClr w14:val="tx1"/>
            </w14:solidFill>
          </w14:textFill>
        </w:rPr>
        <w:t>第十九部分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基金合同的变更、终止与基金财产的清算</w:t>
      </w:r>
      <w:bookmarkEnd w:id="70"/>
    </w:p>
    <w:p>
      <w:pPr>
        <w:rPr>
          <w:rFonts w:hint="eastAsia"/>
          <w:b/>
          <w:color w:val="000000" w:themeColor="text1"/>
          <w:sz w:val="30"/>
          <w:szCs w:val="24"/>
          <w14:textFill>
            <w14:solidFill>
              <w14:schemeClr w14:val="tx1"/>
            </w14:solidFill>
          </w14:textFill>
        </w:rPr>
      </w:pP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一、基金合同的变更</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1、变更基金合同涉及法律法规规定或本基金合同约定应经基金份额持有人大会决议通过的事项的，应召开基金份额持有人大会决议通过。</w:t>
      </w:r>
      <w:bookmarkStart w:id="71" w:name="_Hlk173429675"/>
      <w:r>
        <w:rPr>
          <w:color w:val="000000" w:themeColor="text1"/>
          <w:sz w:val="24"/>
          <w:szCs w:val="24"/>
          <w14:textFill>
            <w14:solidFill>
              <w14:schemeClr w14:val="tx1"/>
            </w14:solidFill>
          </w14:textFill>
        </w:rPr>
        <w:t>对于法律法规规定和基金合同约定可不经基金份额持有人大会决议通过的事项，由基金管理人和基金托管人同意后变更并公告</w:t>
      </w:r>
      <w:bookmarkEnd w:id="71"/>
      <w:r>
        <w:rPr>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2、关于基金合同变更的基金份额持有人大会决议自通过之日起生效。信息披露义务人应在决议生效后依照《信息披露办法》的有关规定在规定媒介公告。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二、基金合同的终止事由</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有下列情形之一的，经履行相关程序后，基金合同应当终止：</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1、基金份额持有人大会决定终止的</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2、基金管理人、基金托管人职责终止，在</w:t>
      </w:r>
      <w:r>
        <w:rPr>
          <w:rFonts w:hint="eastAsia"/>
          <w:color w:val="000000" w:themeColor="text1"/>
          <w:sz w:val="24"/>
          <w:szCs w:val="24"/>
          <w14:textFill>
            <w14:solidFill>
              <w14:schemeClr w14:val="tx1"/>
            </w14:solidFill>
          </w14:textFill>
        </w:rPr>
        <w:t>6</w:t>
      </w:r>
      <w:r>
        <w:rPr>
          <w:color w:val="000000" w:themeColor="text1"/>
          <w:sz w:val="24"/>
          <w:szCs w:val="24"/>
          <w14:textFill>
            <w14:solidFill>
              <w14:schemeClr w14:val="tx1"/>
            </w14:solidFill>
          </w14:textFill>
        </w:rPr>
        <w:t>个月内没有新基金管理人、新基金托管人承接的</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3、基金合同约定的其他情形</w:t>
      </w:r>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4、相关法律法规和中国证监会规定的其他情况。</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三、基金财产的清算</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基金财产清算小组：自出现基金合同的终止事由之日起30个工作日内成立基金财产清算小组，基金管理人组织基金财产清算小组并在中国证监会的监督下进行基金清算。在基金财产清算小组接管基金财产之前，基金管理人和基金托管人应按照基金合同和托管协议的规定继续履行保护基金财产安全的职责。</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、基金财产清算小组组成：基金财产清算小组成员由基金管理人、基金托管人、</w:t>
      </w:r>
      <w:bookmarkStart w:id="72" w:name="_Hlk175324437"/>
      <w:r>
        <w:rPr>
          <w:rFonts w:hint="eastAsia"/>
          <w:color w:val="000000" w:themeColor="text1"/>
          <w:sz w:val="24"/>
          <w:szCs w:val="24"/>
          <w14:textFill>
            <w14:solidFill>
              <w14:schemeClr w14:val="tx1"/>
            </w14:solidFill>
          </w14:textFill>
        </w:rPr>
        <w:t>具有从事证券相关业务资格的</w:t>
      </w:r>
      <w:bookmarkEnd w:id="72"/>
      <w:r>
        <w:rPr>
          <w:color w:val="000000" w:themeColor="text1"/>
          <w:sz w:val="24"/>
          <w:szCs w:val="24"/>
          <w14:textFill>
            <w14:solidFill>
              <w14:schemeClr w14:val="tx1"/>
            </w14:solidFill>
          </w14:textFill>
        </w:rPr>
        <w:t>注册会计师、律师以及中国证监会指定的人员组成。基金财产清算小组可以聘用必要的工作人员。</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、基金财产清算小组职责：基金财产清算小组负责基金财产的保管、清理、估价、变现和分配。基金财产清算小组可以依法进行必要的民事活动。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r>
        <w:rPr>
          <w:color w:val="000000" w:themeColor="text1"/>
          <w:sz w:val="24"/>
          <w:szCs w:val="24"/>
          <w14:textFill>
            <w14:solidFill>
              <w14:schemeClr w14:val="tx1"/>
            </w14:solidFill>
          </w14:textFill>
        </w:rPr>
        <w:t>、基金财产清算程序：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1）</w:t>
      </w:r>
      <w:bookmarkStart w:id="73" w:name="_Hlk203142385"/>
      <w:r>
        <w:rPr>
          <w:rFonts w:hint="eastAsia"/>
          <w:color w:val="000000" w:themeColor="text1"/>
          <w:sz w:val="24"/>
          <w:szCs w:val="24"/>
          <w14:textFill>
            <w14:solidFill>
              <w14:schemeClr w14:val="tx1"/>
            </w14:solidFill>
          </w14:textFill>
        </w:rPr>
        <w:t>基金财产清算小组成立后</w:t>
      </w:r>
      <w:bookmarkEnd w:id="73"/>
      <w:r>
        <w:rPr>
          <w:color w:val="000000" w:themeColor="text1"/>
          <w:sz w:val="24"/>
          <w:szCs w:val="24"/>
          <w14:textFill>
            <w14:solidFill>
              <w14:schemeClr w14:val="tx1"/>
            </w14:solidFill>
          </w14:textFill>
        </w:rPr>
        <w:t>，由基金财产清算小组统一接管基金财产；</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2）对基金财产和债权债务进行清理和确认；</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3）对基金财产进行估值和变现；</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4）制作清算报告；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5）聘请会计师事务所对清算报告进行外部审计，聘请律师事务所对清算报告出具法律意见书；</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6）将清算报告报中国证监会备案并公告；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7）对基金剩余财产进行分配。</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、基金财产清算的期限为</w:t>
      </w:r>
      <w:r>
        <w:rPr>
          <w:rFonts w:hint="eastAsia"/>
          <w:color w:val="000000" w:themeColor="text1"/>
          <w:sz w:val="24"/>
          <w:szCs w:val="24"/>
          <w14:textFill>
            <w14:solidFill>
              <w14:schemeClr w14:val="tx1"/>
            </w14:solidFill>
          </w14:textFill>
        </w:rPr>
        <w:t>6</w:t>
      </w:r>
      <w:r>
        <w:rPr>
          <w:color w:val="000000" w:themeColor="text1"/>
          <w:sz w:val="24"/>
          <w:szCs w:val="24"/>
          <w14:textFill>
            <w14:solidFill>
              <w14:schemeClr w14:val="tx1"/>
            </w14:solidFill>
          </w14:textFill>
        </w:rPr>
        <w:t>个月，但因本基金所持证券的流动性受到限制而不能及时变现、结算保证金相关规定等客观因素，清算期限相应顺延。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四、清算费用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清算费用是指基金财产清算小组在进行基金财产清算过程中发生的所有合理费用，清算费用由基金财产清算小组优先从基金剩余财产中支付。</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五、基金财产清算剩余资产的分配</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依据基金财产清算的分配方案，将基金财产清算后的全部剩余资产扣除基金财产清算费用、交纳所欠税款并清偿基金债务后，按基金份额资产净值的比例确定剩余财产在基金份额中的分配比例，并在基金份额可分配的剩余财产范围内按基金份额持有人持有的基金份额比例进行分配。基金份额持有人对基金财产清算后本类别基金份额的剩余资产具有同等的分配权。</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六、基金财产清算的公告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清算过程中的有关重大事项须及时公告；基金财产清算报告</w:t>
      </w:r>
      <w:bookmarkStart w:id="74" w:name="_Hlk203142433"/>
      <w:r>
        <w:rPr>
          <w:rFonts w:hint="eastAsia"/>
          <w:color w:val="000000" w:themeColor="text1"/>
          <w:sz w:val="24"/>
          <w:szCs w:val="24"/>
          <w14:textFill>
            <w14:solidFill>
              <w14:schemeClr w14:val="tx1"/>
            </w14:solidFill>
          </w14:textFill>
        </w:rPr>
        <w:t>经符合《中华人民共和国证券法》规定</w:t>
      </w:r>
      <w:bookmarkEnd w:id="74"/>
      <w:r>
        <w:rPr>
          <w:rFonts w:hint="eastAsia"/>
          <w:color w:val="000000" w:themeColor="text1"/>
          <w:sz w:val="24"/>
          <w:szCs w:val="24"/>
          <w14:textFill>
            <w14:solidFill>
              <w14:schemeClr w14:val="tx1"/>
            </w14:solidFill>
          </w14:textFill>
        </w:rPr>
        <w:t>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七、基金财产清算账册及文件的保存</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基金财产清算账册及有关文件由基金托管人保存，保存期限不低于法律法规规定的最低年限。</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1805"/>
        </w:tabs>
        <w:spacing w:before="102"/>
        <w:ind w:right="233"/>
        <w:jc w:val="center"/>
        <w:outlineLvl w:val="0"/>
        <w:rPr>
          <w:rFonts w:hint="eastAsia"/>
          <w:b/>
          <w:bCs/>
          <w:color w:val="000000" w:themeColor="text1"/>
          <w:sz w:val="30"/>
          <w:szCs w:val="30"/>
          <w14:textFill>
            <w14:solidFill>
              <w14:schemeClr w14:val="tx1"/>
            </w14:solidFill>
          </w14:textFill>
        </w:rPr>
      </w:pPr>
      <w:bookmarkStart w:id="75" w:name="_Toc173413676"/>
      <w:r>
        <w:rPr>
          <w:b/>
          <w:bCs/>
          <w:color w:val="000000" w:themeColor="text1"/>
          <w:sz w:val="30"/>
          <w:szCs w:val="30"/>
          <w14:textFill>
            <w14:solidFill>
              <w14:schemeClr w14:val="tx1"/>
            </w14:solidFill>
          </w14:textFill>
        </w:rPr>
        <w:t>第二十部分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违约责任</w:t>
      </w:r>
      <w:bookmarkEnd w:id="75"/>
    </w:p>
    <w:p>
      <w:pPr>
        <w:rPr>
          <w:rFonts w:hint="eastAsia"/>
          <w:b/>
          <w:color w:val="000000" w:themeColor="text1"/>
          <w:sz w:val="30"/>
          <w:szCs w:val="24"/>
          <w14:textFill>
            <w14:solidFill>
              <w14:schemeClr w14:val="tx1"/>
            </w14:solidFill>
          </w14:textFill>
        </w:rPr>
      </w:pPr>
    </w:p>
    <w:p>
      <w:pPr>
        <w:spacing w:line="360" w:lineRule="auto"/>
        <w:ind w:firstLine="480" w:firstLineChars="200"/>
        <w:jc w:val="both"/>
        <w:rPr>
          <w:rFonts w:hint="eastAsia"/>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本基金合同所述任何损失，仅限于直接损失。</w:t>
      </w:r>
      <w:r>
        <w:rPr>
          <w:rFonts w:hint="eastAsia"/>
          <w:b/>
          <w:color w:val="000000" w:themeColor="text1"/>
          <w:sz w:val="24"/>
          <w:szCs w:val="24"/>
          <w14:textFill>
            <w14:solidFill>
              <w14:schemeClr w14:val="tx1"/>
            </w14:solidFill>
          </w14:textFill>
        </w:rPr>
        <w:t>如发生下列情况之一的，相应的当事人应当免责：</w:t>
      </w:r>
    </w:p>
    <w:p>
      <w:pPr>
        <w:spacing w:line="360" w:lineRule="auto"/>
        <w:ind w:firstLine="482" w:firstLineChars="200"/>
        <w:jc w:val="both"/>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1、不可抗力。</w:t>
      </w:r>
    </w:p>
    <w:p>
      <w:pPr>
        <w:spacing w:line="360" w:lineRule="auto"/>
        <w:ind w:firstLine="482" w:firstLineChars="200"/>
        <w:jc w:val="both"/>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2、基金管理人和/或基金托管人按照当时有效的法律法规、规章、市场交易规则或中国证监会的规定作为或不作为而造成的损失等。</w:t>
      </w:r>
    </w:p>
    <w:p>
      <w:pPr>
        <w:spacing w:line="360" w:lineRule="auto"/>
        <w:ind w:firstLine="482" w:firstLineChars="200"/>
        <w:jc w:val="both"/>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3、基金管理人按照基金合同约定的投资原则行使或不行使其投资权造成的损失等。</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由于基金管理人、基金托管人不可控制的因素导致业务出现差错，基金管理人和基金托管人虽然已经采取必要、适当、合理的措施进行检查，仍未能发现错误，由此造成基金财产或投资人损失，基金管理人和基金托管人免除赔偿责任，但是基金管理人和基金托管人应积极采取必要的措施消除或减轻由此造成的影响。</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2107"/>
        </w:tabs>
        <w:spacing w:before="102"/>
        <w:ind w:right="233"/>
        <w:jc w:val="center"/>
        <w:outlineLvl w:val="0"/>
        <w:rPr>
          <w:rFonts w:hint="eastAsia"/>
          <w:b/>
          <w:bCs/>
          <w:color w:val="000000" w:themeColor="text1"/>
          <w:sz w:val="30"/>
          <w:szCs w:val="30"/>
          <w14:textFill>
            <w14:solidFill>
              <w14:schemeClr w14:val="tx1"/>
            </w14:solidFill>
          </w14:textFill>
        </w:rPr>
      </w:pPr>
      <w:bookmarkStart w:id="76" w:name="_Toc173413677"/>
      <w:r>
        <w:rPr>
          <w:b/>
          <w:bCs/>
          <w:color w:val="000000" w:themeColor="text1"/>
          <w:sz w:val="30"/>
          <w:szCs w:val="30"/>
          <w14:textFill>
            <w14:solidFill>
              <w14:schemeClr w14:val="tx1"/>
            </w14:solidFill>
          </w14:textFill>
        </w:rPr>
        <w:t>第二十一部分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争议的处理和适用的法律</w:t>
      </w:r>
      <w:bookmarkEnd w:id="76"/>
    </w:p>
    <w:p>
      <w:pPr>
        <w:rPr>
          <w:rFonts w:hint="eastAsia"/>
          <w:b/>
          <w:color w:val="000000" w:themeColor="text1"/>
          <w:sz w:val="30"/>
          <w:szCs w:val="24"/>
          <w14:textFill>
            <w14:solidFill>
              <w14:schemeClr w14:val="tx1"/>
            </w14:solidFill>
          </w14:textFill>
        </w:rPr>
      </w:pPr>
    </w:p>
    <w:p>
      <w:pPr>
        <w:spacing w:line="360" w:lineRule="auto"/>
        <w:ind w:firstLine="482" w:firstLineChars="200"/>
        <w:jc w:val="both"/>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各方当事人同意，因基金合同而产生的或与基金合同有关的一切争议，各方当事人应尽量通过协商、调解解决。协商、调解不能解决的，任何一方均有权将争议提交上海国际经济贸易仲裁委员会，按照上海国际经济贸易仲裁委员会届时有效的仲裁规则进行仲裁。仲裁地点为上海市。仲裁裁决是终局的，对仲裁各方当事人均具有约束力。除非仲裁裁决另有规定，仲裁费、保全费、担保费、律师费、差旅费由败诉方承担。</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争议处理期间，基金管理人和基金托管人应恪守各自的职责，继续忠实、勤勉、尽责地履行基金合同和托管协议规定的义务，维护基金份额持有人的合法权益。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基金合同受中国法律（为本基金合同之目的，不包括香港特别行政区、澳门特别行政区和台湾地区法律）管辖并从其解释。</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2107"/>
        </w:tabs>
        <w:spacing w:before="102"/>
        <w:ind w:right="237"/>
        <w:jc w:val="center"/>
        <w:outlineLvl w:val="0"/>
        <w:rPr>
          <w:rFonts w:hint="eastAsia"/>
          <w:b/>
          <w:bCs/>
          <w:color w:val="000000" w:themeColor="text1"/>
          <w:sz w:val="30"/>
          <w:szCs w:val="30"/>
          <w14:textFill>
            <w14:solidFill>
              <w14:schemeClr w14:val="tx1"/>
            </w14:solidFill>
          </w14:textFill>
        </w:rPr>
      </w:pPr>
      <w:bookmarkStart w:id="77" w:name="_Toc173413678"/>
      <w:r>
        <w:rPr>
          <w:b/>
          <w:bCs/>
          <w:color w:val="000000" w:themeColor="text1"/>
          <w:sz w:val="30"/>
          <w:szCs w:val="30"/>
          <w14:textFill>
            <w14:solidFill>
              <w14:schemeClr w14:val="tx1"/>
            </w14:solidFill>
          </w14:textFill>
        </w:rPr>
        <w:t>第二十二部分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基金合同的效力</w:t>
      </w:r>
      <w:bookmarkEnd w:id="77"/>
    </w:p>
    <w:p>
      <w:pPr>
        <w:rPr>
          <w:rFonts w:hint="eastAsia"/>
          <w:b/>
          <w:color w:val="000000" w:themeColor="text1"/>
          <w:sz w:val="30"/>
          <w:szCs w:val="24"/>
          <w14:textFill>
            <w14:solidFill>
              <w14:schemeClr w14:val="tx1"/>
            </w14:solidFill>
          </w14:textFill>
        </w:rPr>
      </w:pP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基金合同是约定基金合同当事人之间权利义务关系的法律文件。</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1、基金合同经基金管理人、基金托管人双方盖章以及双方法定代表人或授权代表签字/签章并在募集结束后经基金管理人向中国证监会办理基金备案手续，经中国证监会书面确认后生效。</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2、基金合同的有效期自其生效之日起至基金财产清算结果报中国证监会备案并公告之日止。</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3、基金合同自生效之日起对包括基金管理人、基金托管人和基金份额持有人在内的基金合同各方当事人具有同等的法律约束力。</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4、基金合同正本一式</w:t>
      </w:r>
      <w:r>
        <w:rPr>
          <w:rFonts w:hint="eastAsia"/>
          <w:color w:val="000000" w:themeColor="text1"/>
          <w:sz w:val="24"/>
          <w:szCs w:val="24"/>
          <w14:textFill>
            <w14:solidFill>
              <w14:schemeClr w14:val="tx1"/>
            </w14:solidFill>
          </w14:textFill>
        </w:rPr>
        <w:t>肆</w:t>
      </w:r>
      <w:r>
        <w:rPr>
          <w:color w:val="000000" w:themeColor="text1"/>
          <w:sz w:val="24"/>
          <w:szCs w:val="24"/>
          <w14:textFill>
            <w14:solidFill>
              <w14:schemeClr w14:val="tx1"/>
            </w14:solidFill>
          </w14:textFill>
        </w:rPr>
        <w:t>份，除上报有关监管机构</w:t>
      </w:r>
      <w:r>
        <w:rPr>
          <w:rFonts w:hint="eastAsia"/>
          <w:color w:val="000000" w:themeColor="text1"/>
          <w:sz w:val="24"/>
          <w:szCs w:val="24"/>
          <w14:textFill>
            <w14:solidFill>
              <w14:schemeClr w14:val="tx1"/>
            </w14:solidFill>
          </w14:textFill>
        </w:rPr>
        <w:t>壹</w:t>
      </w:r>
      <w:r>
        <w:rPr>
          <w:color w:val="000000" w:themeColor="text1"/>
          <w:sz w:val="24"/>
          <w:szCs w:val="24"/>
          <w14:textFill>
            <w14:solidFill>
              <w14:schemeClr w14:val="tx1"/>
            </w14:solidFill>
          </w14:textFill>
        </w:rPr>
        <w:t>份外，基金管理人</w:t>
      </w:r>
      <w:r>
        <w:rPr>
          <w:rFonts w:hint="eastAsia"/>
          <w:color w:val="000000" w:themeColor="text1"/>
          <w:sz w:val="24"/>
          <w:szCs w:val="24"/>
          <w14:textFill>
            <w14:solidFill>
              <w14:schemeClr w14:val="tx1"/>
            </w14:solidFill>
          </w14:textFill>
        </w:rPr>
        <w:t>持有壹份</w:t>
      </w:r>
      <w:r>
        <w:rPr>
          <w:color w:val="000000" w:themeColor="text1"/>
          <w:sz w:val="24"/>
          <w:szCs w:val="24"/>
          <w14:textFill>
            <w14:solidFill>
              <w14:schemeClr w14:val="tx1"/>
            </w14:solidFill>
          </w14:textFill>
        </w:rPr>
        <w:t>、基金托管人持有</w:t>
      </w:r>
      <w:r>
        <w:rPr>
          <w:rFonts w:hint="eastAsia"/>
          <w:color w:val="000000" w:themeColor="text1"/>
          <w:sz w:val="24"/>
          <w:szCs w:val="24"/>
          <w14:textFill>
            <w14:solidFill>
              <w14:schemeClr w14:val="tx1"/>
            </w14:solidFill>
          </w14:textFill>
        </w:rPr>
        <w:t>贰</w:t>
      </w:r>
      <w:r>
        <w:rPr>
          <w:color w:val="000000" w:themeColor="text1"/>
          <w:sz w:val="24"/>
          <w:szCs w:val="24"/>
          <w14:textFill>
            <w14:solidFill>
              <w14:schemeClr w14:val="tx1"/>
            </w14:solidFill>
          </w14:textFill>
        </w:rPr>
        <w:t>份，每份具有同等的法律效力。</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5、基金合同可印制成册，供投资者在基金管理人、基金托管人、销售机构的办公场所和营业场所查阅。</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2107"/>
        </w:tabs>
        <w:spacing w:before="102"/>
        <w:ind w:right="238"/>
        <w:jc w:val="center"/>
        <w:outlineLvl w:val="0"/>
        <w:rPr>
          <w:rFonts w:hint="eastAsia"/>
          <w:b/>
          <w:bCs/>
          <w:color w:val="000000" w:themeColor="text1"/>
          <w:sz w:val="30"/>
          <w:szCs w:val="30"/>
          <w14:textFill>
            <w14:solidFill>
              <w14:schemeClr w14:val="tx1"/>
            </w14:solidFill>
          </w14:textFill>
        </w:rPr>
      </w:pPr>
      <w:bookmarkStart w:id="78" w:name="_Toc173413679"/>
      <w:r>
        <w:rPr>
          <w:b/>
          <w:bCs/>
          <w:color w:val="000000" w:themeColor="text1"/>
          <w:sz w:val="30"/>
          <w:szCs w:val="30"/>
          <w14:textFill>
            <w14:solidFill>
              <w14:schemeClr w14:val="tx1"/>
            </w14:solidFill>
          </w14:textFill>
        </w:rPr>
        <w:t>第二十三部分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其他事项</w:t>
      </w:r>
      <w:bookmarkEnd w:id="78"/>
    </w:p>
    <w:p>
      <w:pPr>
        <w:rPr>
          <w:rFonts w:hint="eastAsia"/>
          <w:b/>
          <w:color w:val="000000" w:themeColor="text1"/>
          <w:sz w:val="30"/>
          <w:szCs w:val="24"/>
          <w14:textFill>
            <w14:solidFill>
              <w14:schemeClr w14:val="tx1"/>
            </w14:solidFill>
          </w14:textFill>
        </w:rPr>
      </w:pPr>
      <w:bookmarkStart w:id="79" w:name="OLE_LINK18"/>
    </w:p>
    <w:bookmarkEnd w:id="79"/>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基金合同如有未尽事宜，由基金合同当事人各方按有关法律法规协商解决。</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tabs>
          <w:tab w:val="left" w:pos="2107"/>
        </w:tabs>
        <w:spacing w:before="102"/>
        <w:ind w:right="240"/>
        <w:jc w:val="center"/>
        <w:outlineLvl w:val="0"/>
        <w:rPr>
          <w:rFonts w:hint="eastAsia"/>
          <w:b/>
          <w:bCs/>
          <w:color w:val="000000" w:themeColor="text1"/>
          <w:sz w:val="30"/>
          <w:szCs w:val="30"/>
          <w14:textFill>
            <w14:solidFill>
              <w14:schemeClr w14:val="tx1"/>
            </w14:solidFill>
          </w14:textFill>
        </w:rPr>
      </w:pPr>
      <w:bookmarkStart w:id="80" w:name="_Toc173413680"/>
      <w:r>
        <w:rPr>
          <w:b/>
          <w:bCs/>
          <w:color w:val="000000" w:themeColor="text1"/>
          <w:sz w:val="30"/>
          <w:szCs w:val="30"/>
          <w14:textFill>
            <w14:solidFill>
              <w14:schemeClr w14:val="tx1"/>
            </w14:solidFill>
          </w14:textFill>
        </w:rPr>
        <w:t>第二十四部分</w:t>
      </w:r>
      <w:r>
        <w:rPr>
          <w:b/>
          <w:bCs/>
          <w:color w:val="000000" w:themeColor="text1"/>
          <w:sz w:val="30"/>
          <w:szCs w:val="30"/>
          <w14:textFill>
            <w14:solidFill>
              <w14:schemeClr w14:val="tx1"/>
            </w14:solidFill>
          </w14:textFill>
        </w:rPr>
        <w:tab/>
      </w:r>
      <w:r>
        <w:rPr>
          <w:b/>
          <w:bCs/>
          <w:color w:val="000000" w:themeColor="text1"/>
          <w:sz w:val="30"/>
          <w:szCs w:val="30"/>
          <w14:textFill>
            <w14:solidFill>
              <w14:schemeClr w14:val="tx1"/>
            </w14:solidFill>
          </w14:textFill>
        </w:rPr>
        <w:t>基金合同内容摘要</w:t>
      </w:r>
      <w:bookmarkEnd w:id="80"/>
    </w:p>
    <w:p>
      <w:pPr>
        <w:rPr>
          <w:rFonts w:hint="eastAsia"/>
          <w:b/>
          <w:color w:val="000000" w:themeColor="text1"/>
          <w:sz w:val="30"/>
          <w:szCs w:val="24"/>
          <w14:textFill>
            <w14:solidFill>
              <w14:schemeClr w14:val="tx1"/>
            </w14:solidFill>
          </w14:textFill>
        </w:rPr>
      </w:pPr>
      <w:bookmarkStart w:id="81" w:name="OLE_LINK17"/>
      <w:bookmarkStart w:id="82" w:name="OLE_LINK16"/>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一、基金份额持有人、基金管理人和基金托管人的权利、义务</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（一）基金份额持有人的权利与义务</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除法律法规另有规定或基金合同另有约定外，同一类别的每份基金份额具有同等的合法权益。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1、根据《基金法》、《运作办法》及其他有关规定，基金份额持有人的权利包括但不限于：</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（1）分享基金财产收益；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（2）参与分配清算后的剩余基金财产；</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（3）依法转让或者申请赎回其持有的基金份额；</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（4）按照规定要求召开基金份额持有人大会或者召集基金份额持有人大会；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（5）出席或者委派代表出席基金份额持有人大会，对基金份额持有人大会审议事项行使表决权；</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（6）查阅或者复制公开披露的基金信息资料；</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（7）监督基金管理人的投资运作；</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（8）对基金管理人、基金托管人、基金服务机构损害其合法权益的行为依法提起诉讼或仲裁；</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（9）法律法规或中国证监会或基金合同规定的其他权利。</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2、根据《基金法》、《运作办法》及其他有关规定，基金份额持有人的义务包括但不限于：</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（1）认真阅读并遵守基金合同、招募说明书、基金产品资料概要、业务规则以及基金管理人按照规定就本基金发布的相关公告等信息披露文件；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（2）了解所投资基金产品，了解自身风险承受能力，自主判断基金的投资价值，自主做出投资决策，自行承担投资风险；</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（3）关注基金信息披露，及时行使权利和履行义务；</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（4）交纳基金认购、申购款项及法律法规和基金合同所规定的费用；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（5）在其持有的基金份额范围内，承担基金亏损或者基金合同终止的有限责任；</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（6）不从事任何有损基金及其他基金合同当事人合法权益的活动；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（7）执行生效的基金份额持有人大会的决议；</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（8）返还在基金交易过程中因任何原因获得的不当得利；</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（9）如实提供基金管理人或其销售机构依法要求提供的信息，并不时予以更新和补充；</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（10）法律法规或中国证监会或基金合同规定的其他义务。</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（二）基金管理人的权利与义务</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1、根据《基金法》、《运作办法》及其他有关规定，基金管理人的权利包括但不限于：</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（1）依法募集资金；</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（2）自基金合同生效之日起，根据法律法规和基金合同独立运用并管理基金财产；</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（3）依照基金合同收取基金管理费以及法律法规规定或中国证监会批准的其他费用；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（4）销售基金份额；</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（5）按照规定召集基金份额持有人大会；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（7）在基金托管人更换时，提名新的基金托管人；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（8）依据基金合同及有关法律规定决定基金收益的分配方案；</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（9）在基金合同约定的范围内，拒绝或暂停受理申购、赎回及转换申请；</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（10）依照法律法规为基金的利益对被投资公司行使证券持有人权利，为基金的利益行使因基金财产投资所产生的其他权利；</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（11）在法律法规允许的前提下，为基金的利益依法为基金进行融资；</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（12）以基金管理人的名义，代表基金份额持有人的利益行使诉讼权利或者实施其他法律行为；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（13）选择、更换为本基金提供销售、支付结算、基金份额注册登记、估值、投资顾问、法律、会计</w:t>
      </w:r>
      <w:r>
        <w:rPr>
          <w:rFonts w:hint="eastAsia"/>
          <w:bCs/>
          <w:color w:val="000000" w:themeColor="text1"/>
          <w:sz w:val="24"/>
          <w14:textFill>
            <w14:solidFill>
              <w14:schemeClr w14:val="tx1"/>
            </w14:solidFill>
          </w14:textFill>
        </w:rPr>
        <w:t>、证券经纪商</w:t>
      </w:r>
      <w:r>
        <w:rPr>
          <w:rFonts w:hint="eastAsia"/>
          <w:color w:val="000000" w:themeColor="text1"/>
          <w:sz w:val="24"/>
          <w:szCs w:val="24"/>
          <w14:textFill>
            <w14:solidFill>
              <w14:schemeClr w14:val="tx1"/>
            </w14:solidFill>
          </w14:textFill>
        </w:rPr>
        <w:t>等其他为基金提供服务的机构并确定相关费率，对该等服务机构的相关行为进行监督和处理；</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（14）在不违反法律法规的前提下，制订和调整有关基金开户、认购、申购、赎回、转换、定期定额投资、转托管和非交易过户及其他相关业务的业务规则；</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（15）法律法规或中国证监会或基金合同规定的其他权利。</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2、根据《基金法》、《运作办法》及其他有关规定，基金管理人的义务包括但不限于：</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（1）依法募集资金，办理或者委托经中国证监会认定的其他机构代为办理基金份额的发售、申购、赎回和登记事宜；</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（2）办理基金备案手续；</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（3）自基金合同生效之日起，以诚实信用、谨慎勤勉的原则管理和运用基金财产；</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（4）配备足够的具有专业资格的人员进行基金投资分析、决策，以专业化的经营方式管理和运作基金财产；</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（6）除依据《基金法》、基金合同及其他有关规定外，不得利用基金财产为自己及任何第三人谋取利益，不得委托第三人运作基金财产；</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（7）依法接受基金托管人的监督；</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（8）采取适当合理的措施使计算各类基金份额认购、申购、赎回和注销价格的方法符合基金合同等法律文件的规定，按有关规定计算并公告基金净值信息，确定各类基金份额申购、赎回的价格；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（9）进行基金会计核算并编制基金财务会计报告；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（10）按照法律规定要求编制季度报告、中期报告和年度报告；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（11）严格按照《基金法》、基金合同及其他有关规定，履行信息披露及报告义务；</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保守基金商业秘密，不泄露基金投资计划、投资意向等。除《基金法》、基金合同及其他有关规定另有规定或有权机关另有要求或向审计、法律等外部专业顾问提供外，在基金信息公开披露前应予保密，不向他人泄露；</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（13）按基金合同的约定确定基金收益分配方案，及时向基金份额持有人分配基金收益；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（14）按规定受理申购与赎回申请，及时、足额支付赎回款项；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（15）依据《基金法》、基金合同及其他有关规定召集基金份额持有人大会或配合基金托管人、基金份额持有人依法召集基金份额持有人大会；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（16）按规定保存基金财产管理业务活动的会计账册、报表、记录和其他相关资料，保存期限不低于法律法规规定的最低年限；</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（18）组织并参加基金财产清算小组，参与基金财产的保管、清理、估价、变现和分配；</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（19）面临解散、依法被撤销或者被依法宣告破产时，及时报告中国证监会并通知基金托管人；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（20）因违反基金合同导致基金财产的损失或损害基金份额持有人合法权益时，应当承担赔偿责任，其赔偿责任不因其退任而免除；</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（22）以基金管理人名义，代表基金份额持有人利益行使诉讼权利或实施其他法律行为；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（23）基金管理人在募集期满未能达到基金的备案条件，基金合同不能生效，基金管理人应当将已募集资金并加计银行同期活期存款利息在基金募集期结束后30日内退还基金认购人；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（24）执行生效的基金份额持有人大会的决议；</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（25）建立并保存基金份额持有人名册；</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（26）法律法规或中国证监会或基金合同规定的其他义务。</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（三）基金托管人的权利与义务</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1、根据《基金法》、《运作办法》及其他有关规定，基金托管人的权利包括但不限于：</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（1）自基金合同生效之日起，依法律法规和基金合同的规定安全保管基金财产；</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（2）依基金合同约定获得基金托管费以及法律法规规定或监管部门批准的其他费用；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（4）根据相关市场规则，为基金开设资金账户、证券账户等投资所需账户、为基金办理证券交易资金清算；</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（5）提议召开或召集基金份额持有人大会；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（6）在基金管理人更换时，提名新的基金管理人；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（7）法律法规或中国证监会或基金合同规定的其他权利。</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2、根据《基金法》、《运作办法》及其他有关规定，基金托管人的义务包括但不限于：</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（1）以诚实信用、勤勉尽责的原则持有并安全保管基金财产；</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（2）设立专门的基金托管部门，具有符合要求的营业场所，配备足够的、合格的熟悉基金托管业务的专职人员，负责基金财产托管事宜；</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（4）除依据《基金法》、基金合同及其他有关规定外，不得利用基金财产为自己及任何第三人谋取利益，不得委托第三人托管基金财产；</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（5）保管由基金管理人代表基金签订的与基金有关的重大合同及有关凭证；</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（6）按规定开设基金财产的资金账户和证券账户等投资所需账户，按照基金合同的约定，根据基金管理人的投资指令，及时办理清算、交割事宜；</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（7）保守基金商业秘密，除《基金法》、基金合同、托管协议及其他有关规定另有规定或有权机关另有要求或向审计、法律等外部专业顾问提供外，在基金信息公开披露前予以保密，不得向他人泄露；</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（8）复核、审查基金管理人计算的基金资产净值、各类基金份额净值、各类基金份额申购、赎回价格；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（9）办理与基金托管业务活动有关的信息披露事项；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（11）保存基金托管业务活动的记录、账册、报表和其他相关资料，保存期限不低于法律法规规定的最低年限；</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（12）从基金管理人或其委托的登记机构处接收并保存基金份额持有人名册；</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（13）按规定制作相关账册并与基金管理人核对；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（14）依据基金管理人的指令或有关规定向基金份额持有人支付基金收益和赎回款项；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（15）依据《基金法》、基金合同及其他有关规定，召集基金份额持有人大会或配合基金管理人、基金份额持有人依法召集基金份额持有人大会；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（16）按照法律法规、基金合同和托管协议的规定监督基金管理人的投资运作；</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（17）参加基金财产清算小组，参与基金财产的保管、清理、估价、变现和分配；</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（18）面临解散、依法被撤销或者被依法宣告破产时，及时报告中国证监会，并通知基金管理人；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（19）因违反基金合同、托管协议导致基金财产损失时，应承担赔偿责任，其赔偿责任不因其退任而免除；</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（20）按规定监督基金管理人按法律法规和基金合同规定履行自己的义务，基金管理人因违反基金合同造成基金财产损失时，应为基金份额持有人利益向基金管理人追偿；</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（21）执行生效的基金份额持有人大会的决议；</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（22）法律法规或中国证监会或基金合同规定的其他义务。</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二、基金份额持有人大会召集、议事及表决的程序和规则</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份额持有人大会由基金份额持有人组成，基金份额持有人的合法授权代表有权代表基金份额持有人出席会议并表决。就本部分所述基金份额持有人大会事宜，除法律法规另有规定或本基金合同另有约定外，基金份额持有人持有的每一基金份额拥有平等的权利。</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本基金份额持有人大会不设日常机构。</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若将来法律法规对基金份额持有人大会另有规定的，以届时有效的法律法规为准。</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（一）召开事由</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1、除法律法规或中国证监会或基金合同另有规定外，当需要决定下列事由之一的，应当召开基金份额持有人大会：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（1）终止基金合同；</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（2）更换基金管理人；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（3）更换基金托管人；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（4）转换基金运作方式；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（5）调整基金管理人、基金托管人的报酬标准、提高销售服务费率，但法律法规要求调整该等报酬标准或提高销售服务费率的除外；</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（6）变更基金类别；</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（7）本基金与其他基金的合并；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（8）变更基金投资目标、范围或策略；</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（9）变更基金份额持有人大会程序；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（10）基金管理人或基金托管人要求召开基金份额持有人大会；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（11）单独或合计持有本基金总份额10%以上（含10%）基金份额的基金份额持有人（以基金管理人收到提议当日的基金份额计算，下同）就同一事项书面要求召开基金份额持有人大会；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（12）对基金合同当事人权利和义务产生重大影响的其他事项；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（13）法律法规或基金合同或中国证监会规定的其他应当召开基金份额持有人大会的事项。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2、在不违反法律法规有关规定和监管要求并对基金份额持有人利益无实质性不利影响的前提下，以下情况可由基金管理人和基金托管人协商后修改，不需召开基金份额持有人大会：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（1）法律法规要求增加的基金费用的收取；</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（2）在基金合同规定的范围内，且对基金份额持有人利益无实质性不利影响的前提下，调整本基金的申购费率、销售服务费率或变更收费方式、调整本基金的基金份额类别的设置；</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（3）因相应的法律法规发生变动而应当对基金合同进行修改；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（4）对基金合同的修改对基金份额持有人利益无实质性不利影响或修改不涉及基金合同当事人权利义务关系发生重大变化；</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（5）基金管理人、登记机构、销售机构在法律法规和中国证监会规定范围内调整有关基金认购、申购、赎回、转换、非交易过户、转托管等业务的规则；</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（6）对基金份额持有人利益无实质性不利影响的情况下，履行适当程序后，基金推出新业务或服务；</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（7）按照法律法规和基金合同规定不需召开基金份额持有人大会的其他情形。</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（二）会议召集人及召集方式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1、除法律法规规定或基金合同另有约定外，基金份额持有人大会由基金管理人召集。</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2、基金管理人未按规定召集或不能召集时，由基金托管人召集。</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代表基金份额10%以上（含10%，以基金管理人收到提议当日的基金份额计算，下同）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代表基金份额10%以上的基金份额持有人就同一事项要求召开基金份额持有人大会，而基金管理人、基金托管人都不召集的，单独或合计代表基金份额10%以上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6、基金份额持有人大会的召集人负责选择确定开会时间、地点、方式和权益登记日。</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（三）召开基金份额持有人大会的通知时间、通知内容、通知方式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1、召开基金份额持有人大会，召集人应于会议召开前至少30日，按照《信息披露办法》的规定在规定媒介公告会议通知。基金份额持有人大会通知应至少载明以下内容：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（1）会议召开的时间、地点和会议形式；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（2）会议拟审议的事项、议事程序和表决方式；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（3）有权出席基金份额持有人大会的基金份额持有人的权益登记日；</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（4）授权委托证明的内容要求（包括但不限于代理人身份，代理权限和代理有效期限等）、授权方式（包括但不限于纸质授权、电话授权、短信授权及网络授权方式等）、送达时间和地点；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（5）会务常设联系人姓名及联系电话；</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（6）出席会议者必须准备的文件和必须履行的手续；</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（7）召集人需要通知的其他事项。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采取通讯开会方式并进行表决的情况下，由会议召集人决定在会议通知中说明本次基金份额持有人大会所采取的具体通讯方式、投票方式（包括但不限于以纸质表决票投票、网络投票及短信投票等）、委托的公证机关及其联系方式和联系人、表决意见送达的截止时间和收取方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（四）基金份额持有人出席会议的方式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基金份额持有人大会可通过现场开会方式、通讯开会方式或法律法规、监管机构、基金合同允许的其他方式召开，会议的召开方式由会议召集人确定。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通讯开会。通讯开会系指基金份额持有人将其对审议事项的表决意见以书面形式或会议通知载明的其他方式在收取表决意见截止时间以前送达召集人指定的地址或系统。通讯开会应以书面方式或基金合同约定的或会议通知载明的其他方式进行表决。</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在同时符合以下条件时，通讯开会的方式视为有效：</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（1）会议召集人按基金合同约定公布会议通知后，在2个工作日内连续公布相关提示性公告；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统计基金份额持有人的表决意见；基金托管人或基金管理人经通知不参与表决意见统计的，不影响表决效力；</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应符合法律法规、基金合同和会议通知的规定，并与基金登记机构记录相符。</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3、在不与法律法规冲突的前提下，基金份额持有人大会可通过网络、电话或其他</w:t>
      </w:r>
      <w:bookmarkStart w:id="83" w:name="_Hlk203143713"/>
      <w:r>
        <w:rPr>
          <w:rFonts w:hint="eastAsia"/>
          <w:color w:val="000000" w:themeColor="text1"/>
          <w:sz w:val="24"/>
          <w:szCs w:val="24"/>
          <w14:textFill>
            <w14:solidFill>
              <w14:schemeClr w14:val="tx1"/>
            </w14:solidFill>
          </w14:textFill>
        </w:rPr>
        <w:t>非现场方式或者以现场与非现场相结合</w:t>
      </w:r>
      <w:bookmarkEnd w:id="83"/>
      <w:r>
        <w:rPr>
          <w:rFonts w:hint="eastAsia"/>
          <w:color w:val="000000" w:themeColor="text1"/>
          <w:sz w:val="24"/>
          <w:szCs w:val="24"/>
          <w14:textFill>
            <w14:solidFill>
              <w14:schemeClr w14:val="tx1"/>
            </w14:solidFill>
          </w14:textFill>
        </w:rPr>
        <w:t>的方式召开，基金份额持有人可以采用书面、网络、电话、短信或其他方式进行表决，具体方式由会议召集人确定并在会议通知中列明。</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4、基金份额持有人授权他人代为出席会议并表决的，授权方式可以采用书面、网络、电话、短信或其他方式，具体方式在会议通知中列明。</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（五）议事内容与程序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1、议事内容及提案权</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议事内容为本部分“（一）召开事由”中所述应由基金份额持有人大会审议决定的事项。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基金份额持有人大会的召集人发出召集会议的通知后，对原有议事内容的修改应当在基金份额持有人大会召开前及时公告。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基金份额持有人大会不得对未事先公告的议事内容进行表决。</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2、议事程序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（1）现场开会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现场开会的方式下，首先由大会主持人按照下列第七条规定程序确定和公布计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（2）通讯开会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通讯开会的情况下，首先由召集人在收取会议审议事项表决意见截止时间前至少提前30日公布提案，在所通知的收取表决意见截止日期后2个工作日内在公证机关监督下由召集人统计全部有效表决，在公证机关监督下形成决议。</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（六）表决</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基金份额持有人所持每份基金份额有一票表决权。</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基金份额持有人大会决议分为一般决议和特别决议：</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基金份额持有人大会采取记名方式进行投票表决。</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取通讯方式进行表决时，除非在计票时监督员及公证机关均有充分的相反证据证明，否则提交符合会议通知中规定的确认投资者身份文件的投资者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基金份额持有人大会的各项提案或同一项提案内并列的各项议题应当分开审议、逐项表决。</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（七）计票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1、现场开会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如大会由基金管理人或基金托管人召集，基金份额持有人大会的主持人应当在会议开始后宣布在出席会议的基金份额持有人和代理人中选举两名基金份额持有人代表与大会召集人授权的一名人士共同担任计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计票人。基金管理人或基金托管人不出席大会的，不影响计票的效力。</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（1）计票人应当在基金份额持有人表决后立即进行清点并由大会主持人当场公布计票结果；</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如果会议主持人或基金份额持有人或代理人对于提交的表决结果有异议，可以在宣布表决结果后立即要求对所投票数进行重新清点。计票人应当进行重新清点，重新清点以一次为限。重新清点后，大会主持人应当当场公布重新清点结果；</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（3）计票过程应由公证机关予以公证，基金管理人或基金托管人拒不出席大会的，不影响计票的效力。</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2、通讯开会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通讯开会的情况下，计票方式为：由大会召集人授权的两名人士在基金托管人授权代表（若由基金托管人召集，则为基金管理人授权代表）的监督下进行计票，并由公证机关对计票过程予以公证。基金管理人或基金托管人拒不派代表对表决意见的计票进行监督的，不影响计票和表决结果。</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（八）生效与公告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基金份额持有人大会的决议，召集人应当自通过之日起5日内报中国证监会备案。</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基金份额持有人大会的决议自表决通过之日起生效。该表决通过之日为基金份额持有人大会计票完成且计票结果符合法律法规和基金合同规定的决议通过条件之日。</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基金份额持有人大会决议生效后应按照《信息披露办法》的规定在规定媒介上公告。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（九）实施侧袋机制期间基金份额持有人大会的特殊约定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1、基金份额持有人行使提议权、召集权、提名权需单独或合计代表相关基金份额10%以上（含10%）。</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2、现场开会的到会者在权益登记日代表的基金份额不少于本基金在权益登记日相关基金份额的二分之一（含二分之一）。</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权益登记日基金份额总数三分之一以上（含三分之一）相关基金份额的持有人参与或授权他人参与基金份额持有人大会投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5、现场开会由出席大会的基金份额持有人和代理人所持表决权的50%以上（含50%）选举产生一名基金份额持有人作为该次基金份额持有人大会的主持人。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6、一般决议须经参加大会的基金份额持有人或其代理人所持表决权的二分之一以上（含二分之一）通过。</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7、特别决议应当经参加大会的基金份额持有人或其代理人所持表决权的三分之二以上（含三分之二）通过。</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侧袋机制实施期间，关于基金份额持有人大会的相关规定以本节特殊约定内容为准，本节未有特殊约定的适用本节其他相关约定。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bookmarkEnd w:id="81"/>
    <w:bookmarkEnd w:id="82"/>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三、基金收益分配原则、执行方式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（一）基金利润的构成</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基金利润指基金利息收入、投资收益、公允价值变动收益和其他收入扣除相关费用后的余额，基金已实现收益指基金利润减去公允价值变动收益后的余额。</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（二）基金可供分配利润</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基金可供分配利润指截至收益分配基准日基金未分配利润与未分配利润中已实现收益的孰低数。</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（三）基金收益分配原则</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1、在符合有关基金分红条件的前提下，基金管理人可以根据实际情况进行收益分配，具体分配方案详见届时基金管理人发布的公告，若基金合同生效不满 3 个月可不进行收益分配。</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2、本基金收益分配方式分两种：现金分红与红利再投资，投资者可选择现金红利或将现金红利自动转为相应类别的基金份额进行再投资；默认的收益分配方式是现金分红。</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3、基金收益分配后基金份额净值不能低于面值；即基金收益分配基准日的某一类基金份额净值减去该类份额每单位基金份额收益分配金额后不能低于面值。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4、本基金A类与C类基金份额在基金费用收取上不同，其对应的可分配收益可能有所不同。本基金不同份额类别基金份额，其分红相互独立、互不影响。同一类别的每一基金份额享有同等分配权。</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5、法律法规或监管机关另有规定的，从其规定。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符合法律法规及基金合同约定，并对基金份额持有人利益无实质不利影响的前提下，基金管理人经与基金托管人协商一致并按照监管部门要求履行适当程序后可对基金收益分配原则和支付方式进行调整，于变更实施日前按照《信息披露办法》的要求在规定媒介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（四）收益分配方案</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基金收益分配方案中应载明截至收益分配基准日的可供分配利润、基金收益分配对象、分配时间、分配数额及比例、分配方式等内容。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（五）收益分配方案的确定、公告与实施</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本基金收益分配方案由基金管理人拟定，并由基金托管人复核，基金管理人依照《信息披露办法》的有关规定在规定媒介公告。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（六）基金收益分配中发生的费用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（七）实施侧袋机制期间的收益分配</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本基金实施侧袋机制的，侧袋账户不进行收益分配，详见招募说明书的规定。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四、与基金财产管理、运用有关费用的提取、支付方式与比例</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（一）基金费用的种类</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1、基金管理人的管理费。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2、基金托管人的托管费。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3、从C类基金份额的基金财产中计提的销售服务费。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4、基金合同生效后与基金相关的信息披露费用，法律法规、中国证监会另有规定的除外。</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5、基金合同生效后与基金相关的会计师费、律师费、诉讼费和仲裁费。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6、基金份额持有人大会费用。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7、基金的证券、期货等交易费用。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8、基金的银行汇划费用。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9、基金的账户开户费用、账户维护费用。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10、因投资港股通标的股票而产生的各项费用。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11、按照国家有关规定和基金合同约定，可以在基金财产中列支的其他费用。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（二）基金费用计提方法、计提标准和支付方式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1、基金管理人的管理费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本基金的管理费按前一日基金资产净值的0.60%年费率计提。管理费的计算方法如下：</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H＝E×0.60%÷当年天数</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H为每日应计提的基金管理费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E为前一日的基金资产净值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费每日计算，逐日累计至每月月末，按月支付。经基金管理人与基金托管人核对一致后，由基金托管人根据基金管理人指令或者双方认可的方式于次月起3个工作日内从基金财产中一次性支付给基金管理人。若遇法定节假日、休息日或不可抗力致使无法按时支付的，支付日期顺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2、基金托管人的托管费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本基金的托管费按前一日基金资产净值的</w:t>
      </w:r>
      <w:bookmarkStart w:id="84" w:name="OLE_LINK4"/>
      <w:r>
        <w:rPr>
          <w:rFonts w:hint="eastAsia"/>
          <w:color w:val="000000" w:themeColor="text1"/>
          <w:sz w:val="24"/>
          <w:szCs w:val="24"/>
          <w14:textFill>
            <w14:solidFill>
              <w14:schemeClr w14:val="tx1"/>
            </w14:solidFill>
          </w14:textFill>
        </w:rPr>
        <w:t>0.15%</w:t>
      </w:r>
      <w:bookmarkEnd w:id="84"/>
      <w:r>
        <w:rPr>
          <w:rFonts w:hint="eastAsia"/>
          <w:color w:val="000000" w:themeColor="text1"/>
          <w:sz w:val="24"/>
          <w:szCs w:val="24"/>
          <w14:textFill>
            <w14:solidFill>
              <w14:schemeClr w14:val="tx1"/>
            </w14:solidFill>
          </w14:textFill>
        </w:rPr>
        <w:t>年费率计提。托管费的计算方法如下：</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H＝E×0.15%÷当年天数</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H为每日应计提的基金托管费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E为前一日的基金资产净值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托管费每日计算，逐日累计至每月月末，按月支付。经基金管理人与基金托管人核对一致后，由基金托管人根据基金管理人指令或者双方认可的方式于次月起3个工作日内从基金财产中一次性支取。若遇法定节假日、休息日或不可抗力致使无法按时支付的，支付日期顺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3、销售服务费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本基金A类基金份额不收取销售服务费，C类基金份额的销售服务费按前一日C类基金份额资产净值的0.20%年费率计提。计算方法如下：</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H＝E×0.20%÷当年天数</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H为C类基金份额每日应计提的销售服务费</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E为C类基金份额前一日的基金资产净值</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（1）通过基金管理人直销机构认购/申购的C类基金份额</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对于C类基金份额计提的销售服务费将先行收取，但不实际支付给相关机构。在投资者赎回相应基金份额或者基金合同终止时随赎回款或清算款一并返还给投资者，若遇法定节假日、休息日或不可抗力致使无法按时支付的,支付日期顺延；对于转换转出业务，销售服务费将作为转换转出份额对应的款项一并划转至转换转入的基金。</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（2）通过代销机构认购/申购的C类基金份额</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对于投资者持续持有未超过一年（即365天，下同）的C类基金份额计提的销售服务费，逐日累计至每月月末，按月支付。由基金托管人根据基金管理人指令或者双方认可的方式于次月起3个工作日内从基金财产中一次性支付。若遇法定节假日、休息日或不可抗力致使无法按时支付的,支付日期顺延。</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对于投资者持续持有超过一年（不含365天）以后继续计提到的销售服务费（如有）将先行收取，但不实际支付给相关机构。在投资者赎回相应基金份额或者基金合同终止时随赎回款或清算款一并返还给投资者。对于转换转出业务，销售服务费将作为转换转出份额对应的款项一并划转至转换转入的基金。</w:t>
      </w:r>
    </w:p>
    <w:p>
      <w:pPr>
        <w:spacing w:line="360" w:lineRule="auto"/>
        <w:ind w:firstLine="480" w:firstLineChars="200"/>
        <w:jc w:val="both"/>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销售服务费计提后按规定收取或返还投资者的金额以登记机构的计算结果为准，基金托管人无需复核。</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上述“（一）基金费用的种类”中第4</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11</w:t>
      </w:r>
      <w:r>
        <w:rPr>
          <w:color w:val="000000" w:themeColor="text1"/>
          <w:sz w:val="24"/>
          <w:szCs w:val="24"/>
          <w14:textFill>
            <w14:solidFill>
              <w14:schemeClr w14:val="tx1"/>
            </w14:solidFill>
          </w14:textFill>
        </w:rPr>
        <w:t>项费用，根据有关法规及相应协议规定，按费用实际支出金额列入当期费用，由基金托管人从基金财产中支付。</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（三）不列入基金费用的项目</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下列费用不列入基金费用：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bookmarkStart w:id="85" w:name="_Hlk202806583"/>
      <w:r>
        <w:rPr>
          <w:rFonts w:hint="eastAsia"/>
          <w:color w:val="000000" w:themeColor="text1"/>
          <w:sz w:val="24"/>
          <w:szCs w:val="24"/>
          <w14:textFill>
            <w14:solidFill>
              <w14:schemeClr w14:val="tx1"/>
            </w14:solidFill>
          </w14:textFill>
        </w:rPr>
        <w:t>基金合同生效前的相关费用，包括但不限于验资费、会计师费、律师费和信息披露费等费用</w:t>
      </w:r>
      <w:bookmarkEnd w:id="85"/>
      <w:r>
        <w:rPr>
          <w:rFonts w:hint="eastAsia"/>
          <w:color w:val="000000" w:themeColor="text1"/>
          <w:sz w:val="24"/>
          <w:szCs w:val="24"/>
          <w14:textFill>
            <w14:solidFill>
              <w14:schemeClr w14:val="tx1"/>
            </w14:solidFill>
          </w14:textFill>
        </w:rPr>
        <w:t>。</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2、基金管理人和基金托管人因未履行或未完全履行义务导致的费用支出或基金财产的损失。</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3、基金管理人和基金托管人处理与基金运作无关的事项发生的费用。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4、其他根据相关法律法规及中国证监会的有关规定不得列入基金费用的项目。</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（四）基金综合费用水平</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本基金综合费用水平在招募说明书、产品资料概要或其他披露文件中列示。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（五）实施侧袋机制期间的基金费用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本基金实施侧袋机制的，与侧袋账户有关的费用可以从侧袋账户中列支，但应待侧袋账户资产变现后方可列支，有关费用可酌情收取或减免，但不得收取管理费，详见招募说明书的规定。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（六）基金税收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本基金运作过程中涉及的各纳税主体，其纳税义务按国家税收法律、法规执行，但本基金运作过程中应缴纳的增值税、附加税费等税费由基金财产承担，按照税务机关的要求以基金管理人名义缴纳。</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五、基金财产的投资方向和投资限制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（一）投资范围</w:t>
      </w:r>
    </w:p>
    <w:p>
      <w:pPr>
        <w:spacing w:line="360" w:lineRule="auto"/>
        <w:ind w:firstLine="480" w:firstLineChars="200"/>
        <w:jc w:val="both"/>
        <w:rPr>
          <w:rFonts w:hint="eastAsia"/>
          <w:color w:val="000000" w:themeColor="text1"/>
          <w:sz w:val="24"/>
          <w:szCs w:val="24"/>
          <w14:textFill>
            <w14:solidFill>
              <w14:schemeClr w14:val="tx1"/>
            </w14:solidFill>
          </w14:textFill>
        </w:rPr>
      </w:pPr>
      <w:bookmarkStart w:id="86" w:name="_Hlk203144541"/>
      <w:r>
        <w:rPr>
          <w:rFonts w:hint="eastAsia"/>
          <w:color w:val="000000" w:themeColor="text1"/>
          <w:sz w:val="24"/>
          <w:szCs w:val="24"/>
          <w14:textFill>
            <w14:solidFill>
              <w14:schemeClr w14:val="tx1"/>
            </w14:solidFill>
          </w14:textFill>
        </w:rPr>
        <w:t>本基金投资于具有良好流动性的金融工具，包括</w:t>
      </w:r>
      <w:bookmarkEnd w:id="86"/>
      <w:r>
        <w:rPr>
          <w:rFonts w:hint="eastAsia"/>
          <w:color w:val="000000" w:themeColor="text1"/>
          <w:sz w:val="24"/>
          <w:szCs w:val="24"/>
          <w14:textFill>
            <w14:solidFill>
              <w14:schemeClr w14:val="tx1"/>
            </w14:solidFill>
          </w14:textFill>
        </w:rPr>
        <w:t>国内依法发行上市的股票（包含主板、科创板、创业板及其他经中国证监会核准或注册上市的股票、存托凭证）、港股通标的股票、债券（包括国债、地方政府债、政府支持机构债、金融债、企业债、公司债、央行票据、中期票据、短期融资券、超短期融资券、可转换债券、可交换债券、永续债、公开发行的次级债、分离交易可转债的纯债部分等）、资产支持证券、债券回购、银行存款、同业存单、货币市场工具、国债期货等，以及法律法规或中国证监会允许基金投资的其他金融工具（但须符合中国证监会的相关规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如法律法规或监管机构以后允许基金投资其他品种，基金管理人在履行适当程序后，可以将其纳入投资范围。</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本基金对债券资产的投资比例不低于基金资产的80%，对股票、存托凭证的投资比例占基金资产的</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-20%（其中投资于境内股票资产的比例不低于基金资产的5%，投资于港股通标的股票的比例不超过本基金所投资股票资产的50%）；每个交易日日终在扣除国债期货合约需缴纳的交易保证金后，本基金持有的现金或者到期日在一年以内的政府债券不低于基金资产净值的5%，其中现金不包括结算备付金、存出保证金、应收申购款等。</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如法律法规或监管机构变更投资品种的投资比例限制，基金管理人在履行适当程序后，可以调整上述投资品种的投资比例。</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（二）投资限制</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1、组合限制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基金的投资组合应遵循以下限制：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（1）本基金对债券资产的投资比例不低于基金资产的80％；股票、存托凭证的投资比例合计占基金资产的</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%-20%（其中投资于境内股票资产的比例不低于基金资产的5%，投资于港股通标的股票的比例不超过本基金所投资股票资产的50%）；</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（2）每个交易日日终</w:t>
      </w:r>
      <w:bookmarkStart w:id="89" w:name="_GoBack"/>
      <w:bookmarkEnd w:id="89"/>
      <w:r>
        <w:rPr>
          <w:rFonts w:hint="eastAsia"/>
          <w:color w:val="000000" w:themeColor="text1"/>
          <w:sz w:val="24"/>
          <w:szCs w:val="24"/>
          <w14:textFill>
            <w14:solidFill>
              <w14:schemeClr w14:val="tx1"/>
            </w14:solidFill>
          </w14:textFill>
        </w:rPr>
        <w:t>，在扣除国债期货合约需缴纳的交易保证金后，保持现金（不包括结算备付金、存出保证金、应收申购款等）或者到期日在一年以内的政府债券投资比例合计不低于基金资产净值的5%；</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（3）本基金持有一家公司发行的证券，其市值（同一家公司在境内和香港同时上市的A+H股合计计算）不超过基金资产净值的10％；</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本基金管理人管理的全部基金持有一家公司发行的证券（同一家公司在境内和香港同时上市的A+H股合计计算），不超过该证券的10％，完全按照有关指数的构成比例进行证券投资的基金品种可以不受此条款规定的比例限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（5）本基金投资于同一原始权益人的各类资产支持证券的比例，不得超过基金资产净值的10％；</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（6）本基金持有的全部资产支持证券，其市值不得超过基金资产净值的20％；</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（7）本基金持有的同一（指同一信用级别）资产支持证券的比例，不得超过该资产支持证券规模的10％；</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（8）本基金管理人管理的全部基金投资于同一原始权益人的各类资产支持证券，不得超过其各类资产支持证券合计规模的10％；</w:t>
      </w:r>
    </w:p>
    <w:p>
      <w:pPr>
        <w:spacing w:line="360" w:lineRule="auto"/>
        <w:ind w:firstLine="480" w:firstLineChars="200"/>
        <w:jc w:val="both"/>
        <w:rPr>
          <w:rFonts w:hint="eastAsia"/>
          <w:bCs/>
          <w:color w:val="000000" w:themeColor="text1"/>
          <w:sz w:val="24"/>
          <w:szCs w:val="24"/>
          <w:lang w:val="en-US"/>
          <w14:textFill>
            <w14:solidFill>
              <w14:schemeClr w14:val="tx1"/>
            </w14:solidFill>
          </w14:textFill>
        </w:rPr>
      </w:pPr>
      <w:r>
        <w:rPr>
          <w:bCs/>
          <w:color w:val="000000" w:themeColor="text1"/>
          <w:sz w:val="24"/>
          <w:szCs w:val="24"/>
          <w:lang w:val="en-US"/>
          <w14:textFill>
            <w14:solidFill>
              <w14:schemeClr w14:val="tx1"/>
            </w14:solidFill>
          </w14:textFill>
        </w:rPr>
        <w:t>（</w:t>
      </w:r>
      <w:r>
        <w:rPr>
          <w:rFonts w:hint="eastAsia"/>
          <w:bCs/>
          <w:color w:val="000000" w:themeColor="text1"/>
          <w:sz w:val="24"/>
          <w:szCs w:val="24"/>
          <w:lang w:val="en-US"/>
          <w14:textFill>
            <w14:solidFill>
              <w14:schemeClr w14:val="tx1"/>
            </w14:solidFill>
          </w14:textFill>
        </w:rPr>
        <w:t>9</w:t>
      </w:r>
      <w:r>
        <w:rPr>
          <w:bCs/>
          <w:color w:val="000000" w:themeColor="text1"/>
          <w:sz w:val="24"/>
          <w:szCs w:val="24"/>
          <w:lang w:val="en-US"/>
          <w14:textFill>
            <w14:solidFill>
              <w14:schemeClr w14:val="tx1"/>
            </w14:solidFill>
          </w14:textFill>
        </w:rPr>
        <w:t>）本基金应投资于信用级别评级为</w:t>
      </w:r>
      <w:r>
        <w:rPr>
          <w:rFonts w:hint="eastAsia"/>
          <w:bCs/>
          <w:color w:val="000000" w:themeColor="text1"/>
          <w:sz w:val="24"/>
          <w:szCs w:val="24"/>
          <w:lang w:val="en-US"/>
          <w14:textFill>
            <w14:solidFill>
              <w14:schemeClr w14:val="tx1"/>
            </w14:solidFill>
          </w14:textFill>
        </w:rPr>
        <w:t>AA+</w:t>
      </w:r>
      <w:r>
        <w:rPr>
          <w:bCs/>
          <w:color w:val="000000" w:themeColor="text1"/>
          <w:sz w:val="24"/>
          <w:szCs w:val="24"/>
          <w:lang w:val="en-US"/>
          <w14:textFill>
            <w14:solidFill>
              <w14:schemeClr w14:val="tx1"/>
            </w14:solidFill>
          </w14:textFill>
        </w:rPr>
        <w:t>以上（含</w:t>
      </w:r>
      <w:r>
        <w:rPr>
          <w:rFonts w:hint="eastAsia"/>
          <w:bCs/>
          <w:color w:val="000000" w:themeColor="text1"/>
          <w:sz w:val="24"/>
          <w:szCs w:val="24"/>
          <w:lang w:val="en-US"/>
          <w14:textFill>
            <w14:solidFill>
              <w14:schemeClr w14:val="tx1"/>
            </w14:solidFill>
          </w14:textFill>
        </w:rPr>
        <w:t>AA+</w:t>
      </w:r>
      <w:r>
        <w:rPr>
          <w:bCs/>
          <w:color w:val="000000" w:themeColor="text1"/>
          <w:sz w:val="24"/>
          <w:szCs w:val="24"/>
          <w:lang w:val="en-US"/>
          <w14:textFill>
            <w14:solidFill>
              <w14:schemeClr w14:val="tx1"/>
            </w14:solidFill>
          </w14:textFill>
        </w:rPr>
        <w:t>）的资产支持证券。基金持有资产支持证券期间，如果其信用等级下降、不再符合投资标准，应在评级报告发布之日起</w:t>
      </w:r>
      <w:r>
        <w:rPr>
          <w:rFonts w:hint="eastAsia"/>
          <w:bCs/>
          <w:color w:val="000000" w:themeColor="text1"/>
          <w:sz w:val="24"/>
          <w:szCs w:val="24"/>
          <w:lang w:val="en-US"/>
          <w14:textFill>
            <w14:solidFill>
              <w14:schemeClr w14:val="tx1"/>
            </w14:solidFill>
          </w14:textFill>
        </w:rPr>
        <w:t>3个月内予以全部卖出；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（10）基金财产参与股票发行申购，本基金所申报的金额不超过本基金的总资产，本基金所申报的股票数量不超过拟发行股票公司本次发行股票的总量；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（11）本基金债券正回购或逆回购的资金余额不得超过上一日基金资产净值的40%，债券回购的最长期限为1年；</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本基金主动投资于流动性受限资产的市值合计不得超过本基金资产净值的15%；因证券市场波动、上市公司股票停牌等基金管理人之外的因素致使基金不符合该比例限制的，基金管理人不得主动新增流动性受限资产的投资；</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（14）本基金与私募类证券资管产品及中国证监会认定的其他主体为交易对手开展逆回购交易的，可接受质押品的资质要求应当与本基金合同约定的投资范围保持一致；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（15）本基金若参与国债期货交易的，需遵守下列投资比例限制：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1）本基金在任何交易日日终，持有的买入国债期货合约价值，不得超过基金资产净值的15%；</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2）本基金在任何交易日日终，持有的卖出国债期货合约价值不得超过基金持有的债券总市值的30%；</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3）本基金在任何交易日内交易（不包括平仓）的国债期货合约的成交金额不得超过上一交易日基金资产净值的30%；</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4）在任何交易日日终，持有的债券（不含到期日在一年以内的政府债券）市值和买入、卖出国债期货合约价值，合计（轧差计算）应当符合基金合同关于债券投资比例的有关规定；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（16）本基金资产总值不超过基金资产净值的140%；</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（17）本基金投资存托凭证的比例限制依照境内上市交易的股票执行，与境内上市交易的股票合并计算；</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（18）法律法规及中国证监会规定的和基金合同约定的其他投资限制。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除上述第（2）、（9）、（13）、（14）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自基金合同生效之日起6个月内使基金的投资组合比例符合基金合同的有关约定。期间，本基金的投资范围、投资策略应当符合基金合同的约定。基金托管人对基金投资的监督与检查自本基金合同生效之日起开始。</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2、禁止行为</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为维护基金份额持有人的合法权益，基金财产不得用于下列投资或者活动：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（1）承销证券；</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（2）违反规定向他人贷款或者提供担保；</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（3）从事承担无限责任的投资；</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（4）买卖其他基金份额，但是法律法规和中国证监会另有规定的除外；</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（5）向其基金管理人、基金托管人出资；</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（6）从事内幕交易、操纵证券交易价格及其他不正当的证券交易活动；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（7）法律、行政法规和中国证监会规定禁止的其他活动。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法律法规或监管部门对本基金合同所述投资比例、投资限制、组合限制、禁止行为等作出强制性调整的，本基金应当按照法律法规或监管部门的规定执行；如法律法规或监管部门修改或调整涉及本基金的投资比例、投资限制、组合限制、禁止行为等，且该等调整或修改属于非强制性的，基金管理人与基金托管人协商一致后，可按照法律法规或监管部门调整或修改后的规定执行，无需基金份额持有人大会审议决定。</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六、基金净值信息的计算方法和公告方式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（一）基金资产净值的计算方法</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1、基金资产总值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基金资产总值是指基金拥有的各类有价证券、银行存款本息、基金应收款项及其他资产的价值总和。</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2、基金资产净值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基金资产净值是指基金资产总值减去基金负债后的价值。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（二）公告方式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基金合同生效后，在开始办理基金份额申购或者赎回前，基金管理人应当至少每周在规定网站披露一次各类基金份额净值和基金份额累计净值。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在开始办理基金份额申购或者赎回后，基金管理人应当在不晚于每个开放日的次日，通过规定网站、基金销售机构网站或者营业网点，披露开放日的各类基金份额净值和基金份额累计净值。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基金管理人应当在不晚于半年度和年度最后一日的次日，在规定网站披露半年度和年度最后一日的各类基金份额净值和基金份额累计净值。</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七、基金合同的变更、终止与基金财产的清算</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（一）基金合同的变更</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2、关于基金合同变更的基金份额持有人大会决议自通过之日起生效。信息披露义务人应在决议生效后依照《信息披露办法》的有关规定在规定媒介公告。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（二）基金合同的终止事由</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有下列情形之一的，经履行相关程序后，基金合同应当终止：</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1、基金份额持有人大会决定终止的。</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2、基金管理人、基金托管人职责终止，在6个月内没有新基金管理人、新基金托管人承接的。</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3、基金合同约定的其他情形。</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4、相关法律法规和中国证监会规定的其他情况。</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（三）基金财产的清算</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基金财产清算小组：自出现基金合同的终止事由之日起30个工作日内成立基金财产清算小组，基金管理人组织基金财产清算小组并在中国证监会的监督下进行基金清算。在基金财产清算小组接管基金财产之前，基金管理人和基金托管人应按照基金合同和托管协议的规定继续履行保护基金财产安全的职责。</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2、基金财产清算小组组成：基金财产清算小组成员由基金管理人、基金托管人、具有从事证券相关业务资格的注册会计师、律师以及中国证监会指定的人员组成。基金财产清算小组可以聘用必要的工作人员。</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3、基金财产清算小组职责：基金财产清算小组负责基金财产的保管、清理、估价、变现和分配。基金财产清算小组可以依法进行必要的民事活动。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4、基金财产清算程序：</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bookmarkStart w:id="87" w:name="_Hlk203145222"/>
      <w:r>
        <w:rPr>
          <w:rFonts w:hint="eastAsia"/>
          <w:color w:val="000000" w:themeColor="text1"/>
          <w:sz w:val="24"/>
          <w:szCs w:val="24"/>
          <w14:textFill>
            <w14:solidFill>
              <w14:schemeClr w14:val="tx1"/>
            </w14:solidFill>
          </w14:textFill>
        </w:rPr>
        <w:t>基金财产清算小组成立后</w:t>
      </w:r>
      <w:bookmarkEnd w:id="87"/>
      <w:r>
        <w:rPr>
          <w:rFonts w:hint="eastAsia"/>
          <w:color w:val="000000" w:themeColor="text1"/>
          <w:sz w:val="24"/>
          <w:szCs w:val="24"/>
          <w14:textFill>
            <w14:solidFill>
              <w14:schemeClr w14:val="tx1"/>
            </w14:solidFill>
          </w14:textFill>
        </w:rPr>
        <w:t>，由基金财产清算小组统一接管基金财产；</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（2）对基金财产和债权债务进行清理和确认；</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（3）对基金财产进行估值和变现；</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（4）制作清算报告；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（5）聘请会计师事务所对清算报告进行外部审计，聘请律师事务所对清算报告出具法律意见书；</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（6）将清算报告报中国证监会备案并公告；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（7）对基金剩余财产进行分配。</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5、基金财产清算的期限为6个月，但因本基金所持证券的流动性受到限制而不能及时变现、结算保证金相关规定等客观因素，清算期限相应顺延。</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（四）清算费用</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清算费用是指基金财产清算小组在进行基金财产清算过程中发生的所有合理费用，清算费用由基金财产清算小组优先从基金剩余财产中支付。</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（五）基金财产清算剩余资产的分配</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依据基金财产清算的分配方案，将基金财产清算后的全部剩余资产扣除基金财产清算费用、交纳所欠税款并清偿基金债务后，按基金份额资产净值的比例确定剩余财产在基金份额中的分配比例，并在基金份额可分配的剩余财产范围内按基金份额持有人持有的基金份额比例进行分配。基金份额持有人对基金财产清算后本类别基金份额的剩余资产具有同等的分配权。</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（六）基金财产清算的公告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清算过程中的有关重大事项须及时公告；基金财产清算报告经</w:t>
      </w:r>
      <w:bookmarkStart w:id="88" w:name="_Hlk203145253"/>
      <w:r>
        <w:rPr>
          <w:rFonts w:hint="eastAsia"/>
          <w:color w:val="000000" w:themeColor="text1"/>
          <w:sz w:val="24"/>
          <w:szCs w:val="24"/>
          <w14:textFill>
            <w14:solidFill>
              <w14:schemeClr w14:val="tx1"/>
            </w14:solidFill>
          </w14:textFill>
        </w:rPr>
        <w:t>符合《中华人民共和国证券法》规定</w:t>
      </w:r>
      <w:bookmarkEnd w:id="88"/>
      <w:r>
        <w:rPr>
          <w:rFonts w:hint="eastAsia"/>
          <w:color w:val="000000" w:themeColor="text1"/>
          <w:sz w:val="24"/>
          <w:szCs w:val="24"/>
          <w14:textFill>
            <w14:solidFill>
              <w14:schemeClr w14:val="tx1"/>
            </w14:solidFill>
          </w14:textFill>
        </w:rPr>
        <w:t>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（七）基金财产清算账册及文件的保存</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基金财产清算账册及有关文件由基金托管人保存，保存期限不低于法律法规规定的最低年限。</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八、争议的处理和适用的法律</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各方当事人同意，因基金合同而产生的或与基金合同有关的一切争议，各方当事人应尽量通过协商、调解解决。协商、调解不能解决的，任何一方均有权将争议提交上海国际经济贸易仲裁委员会，按照上海国际经济贸易仲裁委员会届时有效的仲裁规则进行仲裁。仲裁地点为上海市。仲裁裁决是终局的，对仲裁各方当事人均具有约束力。除非仲裁裁决另有规定，仲裁费、保全费、担保费、律师费、差旅费由败诉方承担。</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争议处理期间，基金管理人和基金托管人应恪守各自的职责，继续忠实、勤勉、尽责地履行基金合同和托管协议规定的义务，维护基金份额持有人的合法权益。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基金合同受中国法律（为本基金合同之目的，不包括香港特别行政区、澳门特别行政区和台湾地区法律）管辖并从其解释。</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九、基金合同的效力</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1、基金合同经基金管理人、基金托管人双方盖章以及双方法定代表人或授权代表签字/签章并在募集结束后经基金管理人向中国证监会办理基金备案手续，经中国证监会书面确认后生效。</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2、基金合同的有效期自其生效之日起至基金财产清算结果报中国证监会备案并公告之日止。</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3、基金合同自生效之日起对包括基金管理人、基金托管人和基金份额持有人在内的基金合同各方当事人具有同等的法律约束力。</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4、基金合同正本一式肆份，除上报有关监管机构壹份外，基金管理人持有壹份、基金托管人持有贰份，每份具有同等的法律效力。</w:t>
      </w:r>
    </w:p>
    <w:p>
      <w:pPr>
        <w:spacing w:line="360" w:lineRule="auto"/>
        <w:ind w:firstLine="480" w:firstLineChars="2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5、基金合同可印制成册，供投资者在基金管理人、基金托管人、销售机构的办公场所和营业场所查阅。</w:t>
      </w:r>
    </w:p>
    <w:p>
      <w:pPr>
        <w:spacing w:line="360" w:lineRule="auto"/>
        <w:ind w:firstLine="480" w:firstLineChars="200"/>
        <w:jc w:val="both"/>
        <w:rPr>
          <w:rFonts w:hint="eastAsia"/>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spacing w:before="100" w:beforeAutospacing="1" w:after="100" w:afterAutospacing="1"/>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（本页为《中海铭嘉债券型证券投资基金基金合同》签署页，无正文）</w:t>
      </w:r>
    </w:p>
    <w:p>
      <w:pPr>
        <w:widowControl/>
        <w:spacing w:before="100" w:beforeAutospacing="1" w:after="100" w:afterAutospacing="1" w:line="400" w:lineRule="exact"/>
        <w:rPr>
          <w:rFonts w:hint="eastAsia"/>
          <w:color w:val="000000" w:themeColor="text1"/>
          <w:szCs w:val="21"/>
          <w14:textFill>
            <w14:solidFill>
              <w14:schemeClr w14:val="tx1"/>
            </w14:solidFill>
          </w14:textFill>
        </w:rPr>
      </w:pPr>
    </w:p>
    <w:p>
      <w:pPr>
        <w:spacing w:before="100" w:beforeAutospacing="1" w:after="100" w:afterAutospacing="1" w:line="400" w:lineRule="exact"/>
        <w:ind w:firstLine="403"/>
        <w:rPr>
          <w:rFonts w:hint="eastAsia"/>
          <w:b/>
          <w:color w:val="000000" w:themeColor="text1"/>
          <w:sz w:val="24"/>
          <w14:textFill>
            <w14:solidFill>
              <w14:schemeClr w14:val="tx1"/>
            </w14:solidFill>
          </w14:textFill>
        </w:rPr>
      </w:pPr>
      <w:r>
        <w:rPr>
          <w:b/>
          <w:color w:val="000000" w:themeColor="text1"/>
          <w:sz w:val="24"/>
          <w14:textFill>
            <w14:solidFill>
              <w14:schemeClr w14:val="tx1"/>
            </w14:solidFill>
          </w14:textFill>
        </w:rPr>
        <w:t>基金管理人：</w:t>
      </w:r>
      <w:r>
        <w:rPr>
          <w:rFonts w:hint="eastAsia"/>
          <w:b/>
          <w:color w:val="000000" w:themeColor="text1"/>
          <w:sz w:val="24"/>
          <w14:textFill>
            <w14:solidFill>
              <w14:schemeClr w14:val="tx1"/>
            </w14:solidFill>
          </w14:textFill>
        </w:rPr>
        <w:t>中海基金管理有限公司（公章）</w:t>
      </w:r>
    </w:p>
    <w:p>
      <w:pPr>
        <w:widowControl/>
        <w:spacing w:before="100" w:beforeAutospacing="1" w:after="100" w:afterAutospacing="1" w:line="400" w:lineRule="exact"/>
        <w:ind w:firstLine="403"/>
        <w:rPr>
          <w:rFonts w:hint="eastAsia"/>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法定代表人</w:t>
      </w:r>
      <w:r>
        <w:rPr>
          <w:rFonts w:hint="eastAsia"/>
          <w:b/>
          <w:color w:val="000000" w:themeColor="text1"/>
          <w:sz w:val="24"/>
          <w:szCs w:val="24"/>
          <w14:textFill>
            <w14:solidFill>
              <w14:schemeClr w14:val="tx1"/>
            </w14:solidFill>
          </w14:textFill>
        </w:rPr>
        <w:t>或授权代表：</w:t>
      </w:r>
    </w:p>
    <w:p>
      <w:pPr>
        <w:spacing w:before="100" w:beforeAutospacing="1" w:after="100" w:afterAutospacing="1" w:line="400" w:lineRule="exact"/>
        <w:ind w:firstLine="403"/>
        <w:rPr>
          <w:rFonts w:hint="eastAsia"/>
          <w:b/>
          <w:color w:val="000000" w:themeColor="text1"/>
          <w:sz w:val="24"/>
          <w14:textFill>
            <w14:solidFill>
              <w14:schemeClr w14:val="tx1"/>
            </w14:solidFill>
          </w14:textFill>
        </w:rPr>
      </w:pPr>
    </w:p>
    <w:p>
      <w:pPr>
        <w:spacing w:before="100" w:beforeAutospacing="1" w:after="100" w:afterAutospacing="1" w:line="400" w:lineRule="exact"/>
        <w:ind w:firstLine="403"/>
        <w:rPr>
          <w:rFonts w:hint="eastAsia"/>
          <w:b/>
          <w:color w:val="000000" w:themeColor="text1"/>
          <w:sz w:val="24"/>
          <w14:textFill>
            <w14:solidFill>
              <w14:schemeClr w14:val="tx1"/>
            </w14:solidFill>
          </w14:textFill>
        </w:rPr>
      </w:pPr>
    </w:p>
    <w:p>
      <w:pPr>
        <w:widowControl/>
        <w:spacing w:before="100" w:beforeAutospacing="1" w:after="100" w:afterAutospacing="1" w:line="400" w:lineRule="exact"/>
        <w:ind w:firstLine="403"/>
        <w:rPr>
          <w:rFonts w:hint="eastAsia"/>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签订日：</w:t>
      </w:r>
      <w:r>
        <w:rPr>
          <w:rFonts w:hint="eastAsia"/>
          <w:b/>
          <w:color w:val="000000" w:themeColor="text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 xml:space="preserve"> </w:t>
      </w:r>
      <w:r>
        <w:rPr>
          <w:rFonts w:hint="eastAsia"/>
          <w:b/>
          <w:color w:val="000000" w:themeColor="text1"/>
          <w:sz w:val="24"/>
          <w:szCs w:val="24"/>
          <w14:textFill>
            <w14:solidFill>
              <w14:schemeClr w14:val="tx1"/>
            </w14:solidFill>
          </w14:textFill>
        </w:rPr>
        <w:t xml:space="preserve">年 </w:t>
      </w:r>
      <w:r>
        <w:rPr>
          <w:b/>
          <w:color w:val="000000" w:themeColor="text1"/>
          <w:sz w:val="24"/>
          <w:szCs w:val="24"/>
          <w14:textFill>
            <w14:solidFill>
              <w14:schemeClr w14:val="tx1"/>
            </w14:solidFill>
          </w14:textFill>
        </w:rPr>
        <w:t xml:space="preserve">  </w:t>
      </w:r>
      <w:r>
        <w:rPr>
          <w:rFonts w:hint="eastAsia"/>
          <w:b/>
          <w:color w:val="000000" w:themeColor="text1"/>
          <w:sz w:val="24"/>
          <w:szCs w:val="24"/>
          <w14:textFill>
            <w14:solidFill>
              <w14:schemeClr w14:val="tx1"/>
            </w14:solidFill>
          </w14:textFill>
        </w:rPr>
        <w:t xml:space="preserve">月 </w:t>
      </w:r>
      <w:r>
        <w:rPr>
          <w:b/>
          <w:color w:val="000000" w:themeColor="text1"/>
          <w:sz w:val="24"/>
          <w:szCs w:val="24"/>
          <w14:textFill>
            <w14:solidFill>
              <w14:schemeClr w14:val="tx1"/>
            </w14:solidFill>
          </w14:textFill>
        </w:rPr>
        <w:t xml:space="preserve">  </w:t>
      </w:r>
      <w:r>
        <w:rPr>
          <w:rFonts w:hint="eastAsia"/>
          <w:b/>
          <w:color w:val="000000" w:themeColor="text1"/>
          <w:sz w:val="24"/>
          <w:szCs w:val="24"/>
          <w14:textFill>
            <w14:solidFill>
              <w14:schemeClr w14:val="tx1"/>
            </w14:solidFill>
          </w14:textFill>
        </w:rPr>
        <w:t>日</w:t>
      </w:r>
    </w:p>
    <w:p>
      <w:pPr>
        <w:widowControl/>
        <w:spacing w:before="100" w:beforeAutospacing="1" w:after="100" w:afterAutospacing="1" w:line="400" w:lineRule="exact"/>
        <w:ind w:firstLine="420"/>
        <w:rPr>
          <w:rFonts w:hint="eastAsia"/>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签订地：</w:t>
      </w:r>
    </w:p>
    <w:p>
      <w:pPr>
        <w:spacing w:before="100" w:beforeAutospacing="1" w:after="100" w:afterAutospacing="1" w:line="400" w:lineRule="exact"/>
        <w:ind w:firstLine="403"/>
        <w:rPr>
          <w:rFonts w:hint="eastAsia"/>
          <w:b/>
          <w:color w:val="000000" w:themeColor="text1"/>
          <w:sz w:val="24"/>
          <w14:textFill>
            <w14:solidFill>
              <w14:schemeClr w14:val="tx1"/>
            </w14:solidFill>
          </w14:textFill>
        </w:rPr>
      </w:pPr>
    </w:p>
    <w:p>
      <w:pPr>
        <w:spacing w:before="100" w:beforeAutospacing="1" w:after="100" w:afterAutospacing="1" w:line="400" w:lineRule="exact"/>
        <w:ind w:firstLine="403"/>
        <w:rPr>
          <w:rFonts w:hint="eastAsia"/>
          <w:b/>
          <w:color w:val="000000" w:themeColor="text1"/>
          <w:sz w:val="24"/>
          <w14:textFill>
            <w14:solidFill>
              <w14:schemeClr w14:val="tx1"/>
            </w14:solidFill>
          </w14:textFill>
        </w:rPr>
      </w:pPr>
    </w:p>
    <w:p>
      <w:pPr>
        <w:spacing w:before="100" w:beforeAutospacing="1" w:after="100" w:afterAutospacing="1" w:line="400" w:lineRule="exact"/>
        <w:ind w:firstLine="403"/>
        <w:rPr>
          <w:rFonts w:hint="eastAsia"/>
          <w:b/>
          <w:color w:val="000000" w:themeColor="text1"/>
          <w:sz w:val="24"/>
          <w14:textFill>
            <w14:solidFill>
              <w14:schemeClr w14:val="tx1"/>
            </w14:solidFill>
          </w14:textFill>
        </w:rPr>
      </w:pPr>
    </w:p>
    <w:p>
      <w:pPr>
        <w:widowControl/>
        <w:spacing w:before="100" w:beforeAutospacing="1" w:after="100" w:afterAutospacing="1" w:line="400" w:lineRule="exact"/>
        <w:ind w:firstLine="403"/>
        <w:rPr>
          <w:rFonts w:hint="eastAsia"/>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基金托管人</w:t>
      </w:r>
      <w:r>
        <w:rPr>
          <w:rFonts w:hint="eastAsia"/>
          <w:b/>
          <w:color w:val="000000" w:themeColor="text1"/>
          <w:sz w:val="24"/>
          <w:szCs w:val="24"/>
          <w14:textFill>
            <w14:solidFill>
              <w14:schemeClr w14:val="tx1"/>
            </w14:solidFill>
          </w14:textFill>
        </w:rPr>
        <w:t>:国金证券股份有限公司（公章）</w:t>
      </w:r>
    </w:p>
    <w:p>
      <w:pPr>
        <w:widowControl/>
        <w:spacing w:before="100" w:beforeAutospacing="1" w:after="100" w:afterAutospacing="1" w:line="400" w:lineRule="exact"/>
        <w:ind w:firstLine="403"/>
        <w:rPr>
          <w:rFonts w:hint="eastAsia"/>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法定代表人</w:t>
      </w:r>
      <w:r>
        <w:rPr>
          <w:rFonts w:hint="eastAsia"/>
          <w:b/>
          <w:color w:val="000000" w:themeColor="text1"/>
          <w:sz w:val="24"/>
          <w:szCs w:val="24"/>
          <w14:textFill>
            <w14:solidFill>
              <w14:schemeClr w14:val="tx1"/>
            </w14:solidFill>
          </w14:textFill>
        </w:rPr>
        <w:t>或授权代表：</w:t>
      </w:r>
    </w:p>
    <w:p>
      <w:pPr>
        <w:spacing w:before="100" w:beforeAutospacing="1" w:after="100" w:afterAutospacing="1" w:line="400" w:lineRule="exact"/>
        <w:ind w:firstLine="403"/>
        <w:rPr>
          <w:rFonts w:hint="eastAsia"/>
          <w:b/>
          <w:color w:val="000000" w:themeColor="text1"/>
          <w:sz w:val="24"/>
          <w14:textFill>
            <w14:solidFill>
              <w14:schemeClr w14:val="tx1"/>
            </w14:solidFill>
          </w14:textFill>
        </w:rPr>
      </w:pPr>
    </w:p>
    <w:p>
      <w:pPr>
        <w:spacing w:before="100" w:beforeAutospacing="1" w:after="100" w:afterAutospacing="1" w:line="400" w:lineRule="exact"/>
        <w:ind w:firstLine="403"/>
        <w:rPr>
          <w:rFonts w:hint="eastAsia"/>
          <w:b/>
          <w:color w:val="000000" w:themeColor="text1"/>
          <w:sz w:val="24"/>
          <w14:textFill>
            <w14:solidFill>
              <w14:schemeClr w14:val="tx1"/>
            </w14:solidFill>
          </w14:textFill>
        </w:rPr>
      </w:pPr>
    </w:p>
    <w:p>
      <w:pPr>
        <w:widowControl/>
        <w:spacing w:before="100" w:beforeAutospacing="1" w:after="100" w:afterAutospacing="1" w:line="400" w:lineRule="exact"/>
        <w:ind w:firstLine="420"/>
        <w:rPr>
          <w:rFonts w:hint="eastAsia"/>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签订日：</w:t>
      </w:r>
      <w:r>
        <w:rPr>
          <w:rFonts w:hint="eastAsia"/>
          <w:b/>
          <w:color w:val="000000" w:themeColor="text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 xml:space="preserve"> </w:t>
      </w:r>
      <w:r>
        <w:rPr>
          <w:rFonts w:hint="eastAsia"/>
          <w:b/>
          <w:color w:val="000000" w:themeColor="text1"/>
          <w:sz w:val="24"/>
          <w:szCs w:val="24"/>
          <w14:textFill>
            <w14:solidFill>
              <w14:schemeClr w14:val="tx1"/>
            </w14:solidFill>
          </w14:textFill>
        </w:rPr>
        <w:t xml:space="preserve">年 </w:t>
      </w:r>
      <w:r>
        <w:rPr>
          <w:b/>
          <w:color w:val="000000" w:themeColor="text1"/>
          <w:sz w:val="24"/>
          <w:szCs w:val="24"/>
          <w14:textFill>
            <w14:solidFill>
              <w14:schemeClr w14:val="tx1"/>
            </w14:solidFill>
          </w14:textFill>
        </w:rPr>
        <w:t xml:space="preserve">  </w:t>
      </w:r>
      <w:r>
        <w:rPr>
          <w:rFonts w:hint="eastAsia"/>
          <w:b/>
          <w:color w:val="000000" w:themeColor="text1"/>
          <w:sz w:val="24"/>
          <w:szCs w:val="24"/>
          <w14:textFill>
            <w14:solidFill>
              <w14:schemeClr w14:val="tx1"/>
            </w14:solidFill>
          </w14:textFill>
        </w:rPr>
        <w:t xml:space="preserve">月 </w:t>
      </w:r>
      <w:r>
        <w:rPr>
          <w:b/>
          <w:color w:val="000000" w:themeColor="text1"/>
          <w:sz w:val="24"/>
          <w:szCs w:val="24"/>
          <w14:textFill>
            <w14:solidFill>
              <w14:schemeClr w14:val="tx1"/>
            </w14:solidFill>
          </w14:textFill>
        </w:rPr>
        <w:t xml:space="preserve">  </w:t>
      </w:r>
      <w:r>
        <w:rPr>
          <w:rFonts w:hint="eastAsia"/>
          <w:b/>
          <w:color w:val="000000" w:themeColor="text1"/>
          <w:sz w:val="24"/>
          <w:szCs w:val="24"/>
          <w14:textFill>
            <w14:solidFill>
              <w14:schemeClr w14:val="tx1"/>
            </w14:solidFill>
          </w14:textFill>
        </w:rPr>
        <w:t>日</w:t>
      </w:r>
    </w:p>
    <w:p>
      <w:pPr>
        <w:widowControl/>
        <w:spacing w:before="100" w:beforeAutospacing="1" w:after="100" w:afterAutospacing="1" w:line="400" w:lineRule="exact"/>
        <w:ind w:firstLine="403"/>
        <w:rPr>
          <w:rFonts w:hint="eastAsia"/>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签订地：</w:t>
      </w:r>
    </w:p>
    <w:p>
      <w:pPr>
        <w:spacing w:before="100" w:beforeAutospacing="1" w:after="100" w:afterAutospacing="1" w:line="400" w:lineRule="exact"/>
        <w:ind w:firstLine="403"/>
        <w:rPr>
          <w:rFonts w:hint="eastAsia"/>
          <w:b/>
          <w:color w:val="000000" w:themeColor="text1"/>
          <w:sz w:val="24"/>
          <w14:textFill>
            <w14:solidFill>
              <w14:schemeClr w14:val="tx1"/>
            </w14:solidFill>
          </w14:textFill>
        </w:rPr>
      </w:pPr>
    </w:p>
    <w:p>
      <w:pPr>
        <w:spacing w:before="100" w:beforeAutospacing="1" w:after="100" w:afterAutospacing="1" w:line="400" w:lineRule="exact"/>
        <w:ind w:firstLine="403"/>
        <w:rPr>
          <w:rFonts w:hint="eastAsia"/>
          <w:b/>
          <w:color w:val="000000" w:themeColor="text1"/>
          <w:sz w:val="24"/>
          <w14:textFill>
            <w14:solidFill>
              <w14:schemeClr w14:val="tx1"/>
            </w14:solidFill>
          </w14:textFill>
        </w:rPr>
      </w:pPr>
    </w:p>
    <w:p>
      <w:pPr>
        <w:spacing w:before="100" w:beforeAutospacing="1" w:after="100" w:afterAutospacing="1" w:line="400" w:lineRule="exact"/>
        <w:ind w:firstLine="403"/>
        <w:rPr>
          <w:rFonts w:hint="eastAsia"/>
          <w:b/>
          <w:color w:val="000000" w:themeColor="text1"/>
          <w:sz w:val="24"/>
          <w14:textFill>
            <w14:solidFill>
              <w14:schemeClr w14:val="tx1"/>
            </w14:solidFill>
          </w14:textFill>
        </w:rPr>
      </w:pPr>
    </w:p>
    <w:p>
      <w:pPr>
        <w:spacing w:before="2" w:line="360" w:lineRule="auto"/>
        <w:ind w:right="95" w:rightChars="43"/>
        <w:jc w:val="both"/>
        <w:rPr>
          <w:rFonts w:hint="eastAsia"/>
          <w:color w:val="000000" w:themeColor="text1"/>
          <w:sz w:val="24"/>
          <w:szCs w:val="24"/>
          <w14:textFill>
            <w14:solidFill>
              <w14:schemeClr w14:val="tx1"/>
            </w14:solidFill>
          </w14:textFill>
        </w:rPr>
      </w:pPr>
    </w:p>
    <w:sectPr>
      <w:footerReference r:id="rId4" w:type="default"/>
      <w:pgSz w:w="11906" w:h="16838"/>
      <w:pgMar w:top="1440" w:right="1274" w:bottom="1440" w:left="1800" w:header="851" w:footer="733"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9825925"/>
    </w:sdtPr>
    <w:sdtContent>
      <w:p>
        <w:pPr>
          <w:pStyle w:val="9"/>
          <w:jc w:val="center"/>
          <w:rPr>
            <w:rFonts w:hint="eastAsia"/>
          </w:rPr>
        </w:pPr>
        <w:r>
          <w:fldChar w:fldCharType="begin"/>
        </w:r>
        <w:r>
          <w:instrText xml:space="preserve">PAGE   \* MERGEFORMAT</w:instrText>
        </w:r>
        <w:r>
          <w:fldChar w:fldCharType="separate"/>
        </w:r>
        <w:r>
          <w:t>65</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rFonts w:hint="eastAsia"/>
      </w:rPr>
    </w:pPr>
    <w:r>
      <w:rPr>
        <w:rFonts w:hint="eastAsia"/>
      </w:rPr>
      <w:t>中海铭嘉债券型证券投资基金</w:t>
    </w:r>
    <w:r>
      <w:ptab w:relativeTo="margin" w:alignment="center" w:leader="none"/>
    </w:r>
    <w:r>
      <w:ptab w:relativeTo="margin" w:alignment="right" w:leader="none"/>
    </w:r>
    <w:r>
      <w:rPr>
        <w:rFonts w:hint="eastAsia"/>
      </w:rPr>
      <w:t>基金合同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YTFjZjM2MWVjYjA4MDg0OGUyNWRmYzQ1YmIyNTEifQ=="/>
  </w:docVars>
  <w:rsids>
    <w:rsidRoot w:val="00806901"/>
    <w:rsid w:val="00001721"/>
    <w:rsid w:val="00003A1F"/>
    <w:rsid w:val="0000712E"/>
    <w:rsid w:val="000120E2"/>
    <w:rsid w:val="000165BE"/>
    <w:rsid w:val="00016A66"/>
    <w:rsid w:val="00017D93"/>
    <w:rsid w:val="00025229"/>
    <w:rsid w:val="00026BB1"/>
    <w:rsid w:val="00036E05"/>
    <w:rsid w:val="00037E34"/>
    <w:rsid w:val="00051788"/>
    <w:rsid w:val="00052B5B"/>
    <w:rsid w:val="00056644"/>
    <w:rsid w:val="00060882"/>
    <w:rsid w:val="000662F7"/>
    <w:rsid w:val="00070FDE"/>
    <w:rsid w:val="00073AB3"/>
    <w:rsid w:val="00085120"/>
    <w:rsid w:val="00090EAE"/>
    <w:rsid w:val="0009150A"/>
    <w:rsid w:val="00094A83"/>
    <w:rsid w:val="0009572A"/>
    <w:rsid w:val="00095F5D"/>
    <w:rsid w:val="00096CC3"/>
    <w:rsid w:val="00097652"/>
    <w:rsid w:val="000A4174"/>
    <w:rsid w:val="000A6A27"/>
    <w:rsid w:val="000B078F"/>
    <w:rsid w:val="000B3E40"/>
    <w:rsid w:val="000B43DB"/>
    <w:rsid w:val="000B48D1"/>
    <w:rsid w:val="000B63E9"/>
    <w:rsid w:val="000C564F"/>
    <w:rsid w:val="000C5FB9"/>
    <w:rsid w:val="000C602C"/>
    <w:rsid w:val="000C7DF4"/>
    <w:rsid w:val="000D0846"/>
    <w:rsid w:val="000D4A59"/>
    <w:rsid w:val="000E2265"/>
    <w:rsid w:val="000E50AE"/>
    <w:rsid w:val="000E5A28"/>
    <w:rsid w:val="000F5DD9"/>
    <w:rsid w:val="00103C1C"/>
    <w:rsid w:val="00104377"/>
    <w:rsid w:val="00104ED4"/>
    <w:rsid w:val="00106580"/>
    <w:rsid w:val="00106F7A"/>
    <w:rsid w:val="0010795F"/>
    <w:rsid w:val="00107F58"/>
    <w:rsid w:val="00110197"/>
    <w:rsid w:val="00112E33"/>
    <w:rsid w:val="00113163"/>
    <w:rsid w:val="00114B38"/>
    <w:rsid w:val="001237EE"/>
    <w:rsid w:val="001249C2"/>
    <w:rsid w:val="001254F7"/>
    <w:rsid w:val="00126AD9"/>
    <w:rsid w:val="00127C72"/>
    <w:rsid w:val="001305FB"/>
    <w:rsid w:val="001341FE"/>
    <w:rsid w:val="00137698"/>
    <w:rsid w:val="00143CBB"/>
    <w:rsid w:val="00147FEA"/>
    <w:rsid w:val="00153625"/>
    <w:rsid w:val="001550D0"/>
    <w:rsid w:val="00160C67"/>
    <w:rsid w:val="001656D8"/>
    <w:rsid w:val="00166AD6"/>
    <w:rsid w:val="0017103E"/>
    <w:rsid w:val="00171425"/>
    <w:rsid w:val="00172AA7"/>
    <w:rsid w:val="00173A6A"/>
    <w:rsid w:val="00180914"/>
    <w:rsid w:val="00180CD3"/>
    <w:rsid w:val="00192CD1"/>
    <w:rsid w:val="00197F2E"/>
    <w:rsid w:val="001A0E9F"/>
    <w:rsid w:val="001A2C0F"/>
    <w:rsid w:val="001A307A"/>
    <w:rsid w:val="001A4459"/>
    <w:rsid w:val="001A52B5"/>
    <w:rsid w:val="001B599F"/>
    <w:rsid w:val="001C1277"/>
    <w:rsid w:val="001C2946"/>
    <w:rsid w:val="001C2AA6"/>
    <w:rsid w:val="001C619B"/>
    <w:rsid w:val="001C7F49"/>
    <w:rsid w:val="001D2924"/>
    <w:rsid w:val="001E0E96"/>
    <w:rsid w:val="001E1FF8"/>
    <w:rsid w:val="001E202E"/>
    <w:rsid w:val="001E386D"/>
    <w:rsid w:val="001E69AC"/>
    <w:rsid w:val="001E7B29"/>
    <w:rsid w:val="001F12BB"/>
    <w:rsid w:val="001F742D"/>
    <w:rsid w:val="00200F5E"/>
    <w:rsid w:val="00201502"/>
    <w:rsid w:val="0020341C"/>
    <w:rsid w:val="00206871"/>
    <w:rsid w:val="00207AFF"/>
    <w:rsid w:val="0021233B"/>
    <w:rsid w:val="00212C66"/>
    <w:rsid w:val="00225282"/>
    <w:rsid w:val="00237B66"/>
    <w:rsid w:val="002457EA"/>
    <w:rsid w:val="002472A8"/>
    <w:rsid w:val="00251302"/>
    <w:rsid w:val="00252254"/>
    <w:rsid w:val="00253528"/>
    <w:rsid w:val="00254823"/>
    <w:rsid w:val="00255019"/>
    <w:rsid w:val="00257A64"/>
    <w:rsid w:val="0026226B"/>
    <w:rsid w:val="00265096"/>
    <w:rsid w:val="00272FEA"/>
    <w:rsid w:val="00274124"/>
    <w:rsid w:val="00277A1A"/>
    <w:rsid w:val="0028082C"/>
    <w:rsid w:val="00282111"/>
    <w:rsid w:val="0028635F"/>
    <w:rsid w:val="00290579"/>
    <w:rsid w:val="00292109"/>
    <w:rsid w:val="0029283D"/>
    <w:rsid w:val="00297848"/>
    <w:rsid w:val="00297DF0"/>
    <w:rsid w:val="002A4123"/>
    <w:rsid w:val="002A6B0C"/>
    <w:rsid w:val="002A7C61"/>
    <w:rsid w:val="002B0765"/>
    <w:rsid w:val="002B18F7"/>
    <w:rsid w:val="002B66F3"/>
    <w:rsid w:val="002B6FDF"/>
    <w:rsid w:val="002C512E"/>
    <w:rsid w:val="002C7172"/>
    <w:rsid w:val="002D49EB"/>
    <w:rsid w:val="002E1B66"/>
    <w:rsid w:val="002E4C02"/>
    <w:rsid w:val="002E519A"/>
    <w:rsid w:val="002E64BE"/>
    <w:rsid w:val="002F28CE"/>
    <w:rsid w:val="002F2FFF"/>
    <w:rsid w:val="002F5FE6"/>
    <w:rsid w:val="002F74D8"/>
    <w:rsid w:val="00304080"/>
    <w:rsid w:val="00313414"/>
    <w:rsid w:val="00314369"/>
    <w:rsid w:val="00314D92"/>
    <w:rsid w:val="003156A5"/>
    <w:rsid w:val="00323E1A"/>
    <w:rsid w:val="00325E94"/>
    <w:rsid w:val="00336E5C"/>
    <w:rsid w:val="00340C41"/>
    <w:rsid w:val="00340CE4"/>
    <w:rsid w:val="00341464"/>
    <w:rsid w:val="00343C74"/>
    <w:rsid w:val="00344288"/>
    <w:rsid w:val="00344D58"/>
    <w:rsid w:val="003458D4"/>
    <w:rsid w:val="00346BF9"/>
    <w:rsid w:val="00346CBF"/>
    <w:rsid w:val="0035502F"/>
    <w:rsid w:val="00357DD0"/>
    <w:rsid w:val="00360F9B"/>
    <w:rsid w:val="003633A9"/>
    <w:rsid w:val="003669EE"/>
    <w:rsid w:val="0037038C"/>
    <w:rsid w:val="003717DC"/>
    <w:rsid w:val="00376B91"/>
    <w:rsid w:val="003773AC"/>
    <w:rsid w:val="00381D89"/>
    <w:rsid w:val="003821C4"/>
    <w:rsid w:val="00385CD7"/>
    <w:rsid w:val="00392D24"/>
    <w:rsid w:val="00392E21"/>
    <w:rsid w:val="00393BC2"/>
    <w:rsid w:val="00394B9D"/>
    <w:rsid w:val="00394F8A"/>
    <w:rsid w:val="003A493E"/>
    <w:rsid w:val="003A5B2F"/>
    <w:rsid w:val="003A7B28"/>
    <w:rsid w:val="003B2F60"/>
    <w:rsid w:val="003B3B86"/>
    <w:rsid w:val="003B66BF"/>
    <w:rsid w:val="003C0EB7"/>
    <w:rsid w:val="003C38A3"/>
    <w:rsid w:val="003D40E9"/>
    <w:rsid w:val="003E18E6"/>
    <w:rsid w:val="003E70E8"/>
    <w:rsid w:val="003F5055"/>
    <w:rsid w:val="003F54F5"/>
    <w:rsid w:val="004123A9"/>
    <w:rsid w:val="00413CDD"/>
    <w:rsid w:val="0041693A"/>
    <w:rsid w:val="00423EAA"/>
    <w:rsid w:val="0043007B"/>
    <w:rsid w:val="0043260B"/>
    <w:rsid w:val="00434305"/>
    <w:rsid w:val="0043574B"/>
    <w:rsid w:val="0044266B"/>
    <w:rsid w:val="00444F42"/>
    <w:rsid w:val="00447B89"/>
    <w:rsid w:val="00447F9D"/>
    <w:rsid w:val="004574E8"/>
    <w:rsid w:val="00457869"/>
    <w:rsid w:val="00471ED7"/>
    <w:rsid w:val="00472AF4"/>
    <w:rsid w:val="0047305E"/>
    <w:rsid w:val="00473084"/>
    <w:rsid w:val="00482B44"/>
    <w:rsid w:val="00485852"/>
    <w:rsid w:val="00490AAC"/>
    <w:rsid w:val="00491669"/>
    <w:rsid w:val="00492FA6"/>
    <w:rsid w:val="00493409"/>
    <w:rsid w:val="004A0132"/>
    <w:rsid w:val="004A3498"/>
    <w:rsid w:val="004A57BA"/>
    <w:rsid w:val="004A5AD8"/>
    <w:rsid w:val="004A7F47"/>
    <w:rsid w:val="004B0161"/>
    <w:rsid w:val="004B162E"/>
    <w:rsid w:val="004B30FF"/>
    <w:rsid w:val="004B343B"/>
    <w:rsid w:val="004B4BED"/>
    <w:rsid w:val="004B6770"/>
    <w:rsid w:val="004C2DD4"/>
    <w:rsid w:val="004C477B"/>
    <w:rsid w:val="004C5ACF"/>
    <w:rsid w:val="004C7E5A"/>
    <w:rsid w:val="004D780E"/>
    <w:rsid w:val="004E4AD3"/>
    <w:rsid w:val="004F3C41"/>
    <w:rsid w:val="004F5853"/>
    <w:rsid w:val="004F68C9"/>
    <w:rsid w:val="00501696"/>
    <w:rsid w:val="00504A35"/>
    <w:rsid w:val="00505FC1"/>
    <w:rsid w:val="00506361"/>
    <w:rsid w:val="00507A80"/>
    <w:rsid w:val="00511598"/>
    <w:rsid w:val="005134D4"/>
    <w:rsid w:val="005140CB"/>
    <w:rsid w:val="00514510"/>
    <w:rsid w:val="00514B99"/>
    <w:rsid w:val="00523E35"/>
    <w:rsid w:val="00525F0E"/>
    <w:rsid w:val="005275AB"/>
    <w:rsid w:val="00535B47"/>
    <w:rsid w:val="0054135E"/>
    <w:rsid w:val="005433CB"/>
    <w:rsid w:val="005434DD"/>
    <w:rsid w:val="00543C0B"/>
    <w:rsid w:val="00555351"/>
    <w:rsid w:val="005628D5"/>
    <w:rsid w:val="005649F8"/>
    <w:rsid w:val="00565B27"/>
    <w:rsid w:val="00565CC2"/>
    <w:rsid w:val="00573105"/>
    <w:rsid w:val="00576543"/>
    <w:rsid w:val="005807E3"/>
    <w:rsid w:val="0058153D"/>
    <w:rsid w:val="00581F7B"/>
    <w:rsid w:val="005843A9"/>
    <w:rsid w:val="005870A2"/>
    <w:rsid w:val="00587959"/>
    <w:rsid w:val="00590737"/>
    <w:rsid w:val="00592322"/>
    <w:rsid w:val="00593A8A"/>
    <w:rsid w:val="00596965"/>
    <w:rsid w:val="00597B55"/>
    <w:rsid w:val="005A0638"/>
    <w:rsid w:val="005A18AA"/>
    <w:rsid w:val="005A2A2B"/>
    <w:rsid w:val="005A5B3D"/>
    <w:rsid w:val="005B15B7"/>
    <w:rsid w:val="005B7CEB"/>
    <w:rsid w:val="005C0796"/>
    <w:rsid w:val="005C1965"/>
    <w:rsid w:val="005D4DC7"/>
    <w:rsid w:val="005D52FB"/>
    <w:rsid w:val="005E6A87"/>
    <w:rsid w:val="005F21BC"/>
    <w:rsid w:val="005F2904"/>
    <w:rsid w:val="005F3A2D"/>
    <w:rsid w:val="006004DB"/>
    <w:rsid w:val="00603858"/>
    <w:rsid w:val="00603AD7"/>
    <w:rsid w:val="00604053"/>
    <w:rsid w:val="00610356"/>
    <w:rsid w:val="00620143"/>
    <w:rsid w:val="00624970"/>
    <w:rsid w:val="00637764"/>
    <w:rsid w:val="006474DC"/>
    <w:rsid w:val="00647810"/>
    <w:rsid w:val="00651807"/>
    <w:rsid w:val="006524DB"/>
    <w:rsid w:val="00652E25"/>
    <w:rsid w:val="00653007"/>
    <w:rsid w:val="00656DA7"/>
    <w:rsid w:val="00657539"/>
    <w:rsid w:val="0066056B"/>
    <w:rsid w:val="00667E15"/>
    <w:rsid w:val="006735CE"/>
    <w:rsid w:val="006738CA"/>
    <w:rsid w:val="00677997"/>
    <w:rsid w:val="00681172"/>
    <w:rsid w:val="0068743D"/>
    <w:rsid w:val="006875FD"/>
    <w:rsid w:val="006920E7"/>
    <w:rsid w:val="006B576B"/>
    <w:rsid w:val="006B599B"/>
    <w:rsid w:val="006C3849"/>
    <w:rsid w:val="006C4EFF"/>
    <w:rsid w:val="006C7B47"/>
    <w:rsid w:val="006C7BF2"/>
    <w:rsid w:val="006D4AA4"/>
    <w:rsid w:val="006D6769"/>
    <w:rsid w:val="006D6836"/>
    <w:rsid w:val="006D7663"/>
    <w:rsid w:val="006E047A"/>
    <w:rsid w:val="006E0906"/>
    <w:rsid w:val="006E32A0"/>
    <w:rsid w:val="006E6397"/>
    <w:rsid w:val="006F4678"/>
    <w:rsid w:val="006F614B"/>
    <w:rsid w:val="0070042B"/>
    <w:rsid w:val="00702866"/>
    <w:rsid w:val="007028EC"/>
    <w:rsid w:val="0070364F"/>
    <w:rsid w:val="00704DF0"/>
    <w:rsid w:val="00707924"/>
    <w:rsid w:val="00714C44"/>
    <w:rsid w:val="00725660"/>
    <w:rsid w:val="00726137"/>
    <w:rsid w:val="007267E4"/>
    <w:rsid w:val="00731402"/>
    <w:rsid w:val="007357B0"/>
    <w:rsid w:val="00736222"/>
    <w:rsid w:val="00736ECA"/>
    <w:rsid w:val="0073798B"/>
    <w:rsid w:val="00743D5B"/>
    <w:rsid w:val="00750D80"/>
    <w:rsid w:val="007617BC"/>
    <w:rsid w:val="00761819"/>
    <w:rsid w:val="00762429"/>
    <w:rsid w:val="00763640"/>
    <w:rsid w:val="007668C3"/>
    <w:rsid w:val="00767A58"/>
    <w:rsid w:val="00777F3F"/>
    <w:rsid w:val="00780463"/>
    <w:rsid w:val="007815E6"/>
    <w:rsid w:val="00782A94"/>
    <w:rsid w:val="007847F6"/>
    <w:rsid w:val="0078785C"/>
    <w:rsid w:val="00790B4B"/>
    <w:rsid w:val="007919AF"/>
    <w:rsid w:val="007922D3"/>
    <w:rsid w:val="007932E8"/>
    <w:rsid w:val="00793BB7"/>
    <w:rsid w:val="00796FC9"/>
    <w:rsid w:val="00797D01"/>
    <w:rsid w:val="007A064B"/>
    <w:rsid w:val="007A09BD"/>
    <w:rsid w:val="007A2106"/>
    <w:rsid w:val="007A2473"/>
    <w:rsid w:val="007B12FE"/>
    <w:rsid w:val="007B72EC"/>
    <w:rsid w:val="007D5F80"/>
    <w:rsid w:val="007D6526"/>
    <w:rsid w:val="007D6D11"/>
    <w:rsid w:val="007E34C1"/>
    <w:rsid w:val="007E3E86"/>
    <w:rsid w:val="007E5B7F"/>
    <w:rsid w:val="007F3883"/>
    <w:rsid w:val="007F7E1F"/>
    <w:rsid w:val="008040AF"/>
    <w:rsid w:val="008054CC"/>
    <w:rsid w:val="00806901"/>
    <w:rsid w:val="0081087F"/>
    <w:rsid w:val="0081586D"/>
    <w:rsid w:val="008160AF"/>
    <w:rsid w:val="00821981"/>
    <w:rsid w:val="00821D15"/>
    <w:rsid w:val="00822F0D"/>
    <w:rsid w:val="00823C9F"/>
    <w:rsid w:val="008316AD"/>
    <w:rsid w:val="008365B8"/>
    <w:rsid w:val="008369E5"/>
    <w:rsid w:val="0083747E"/>
    <w:rsid w:val="0083799C"/>
    <w:rsid w:val="008432CC"/>
    <w:rsid w:val="00850390"/>
    <w:rsid w:val="00851725"/>
    <w:rsid w:val="00852A6D"/>
    <w:rsid w:val="0085777B"/>
    <w:rsid w:val="00867FEF"/>
    <w:rsid w:val="008724CC"/>
    <w:rsid w:val="00875F70"/>
    <w:rsid w:val="00880C92"/>
    <w:rsid w:val="00884363"/>
    <w:rsid w:val="00885181"/>
    <w:rsid w:val="00886DF4"/>
    <w:rsid w:val="0089526B"/>
    <w:rsid w:val="00895AED"/>
    <w:rsid w:val="00896424"/>
    <w:rsid w:val="008B1E88"/>
    <w:rsid w:val="008B25B9"/>
    <w:rsid w:val="008B2EE5"/>
    <w:rsid w:val="008B3A9A"/>
    <w:rsid w:val="008C1A17"/>
    <w:rsid w:val="008C1D49"/>
    <w:rsid w:val="008C2B8F"/>
    <w:rsid w:val="008C2CDF"/>
    <w:rsid w:val="008C6A5D"/>
    <w:rsid w:val="008C7CC6"/>
    <w:rsid w:val="008D71BE"/>
    <w:rsid w:val="008E684E"/>
    <w:rsid w:val="008E7D5C"/>
    <w:rsid w:val="008F603D"/>
    <w:rsid w:val="00900071"/>
    <w:rsid w:val="00903516"/>
    <w:rsid w:val="00903BF4"/>
    <w:rsid w:val="00907713"/>
    <w:rsid w:val="00907F77"/>
    <w:rsid w:val="00912BFC"/>
    <w:rsid w:val="009147E8"/>
    <w:rsid w:val="009148B8"/>
    <w:rsid w:val="00915639"/>
    <w:rsid w:val="00916EBA"/>
    <w:rsid w:val="00920461"/>
    <w:rsid w:val="0093447D"/>
    <w:rsid w:val="0093502E"/>
    <w:rsid w:val="00936E8B"/>
    <w:rsid w:val="00937EE5"/>
    <w:rsid w:val="00954CED"/>
    <w:rsid w:val="00957781"/>
    <w:rsid w:val="00957D54"/>
    <w:rsid w:val="00957D89"/>
    <w:rsid w:val="0096653E"/>
    <w:rsid w:val="0097121E"/>
    <w:rsid w:val="009722EA"/>
    <w:rsid w:val="00972406"/>
    <w:rsid w:val="009727E1"/>
    <w:rsid w:val="00976E0A"/>
    <w:rsid w:val="0098601B"/>
    <w:rsid w:val="00986059"/>
    <w:rsid w:val="00987EE8"/>
    <w:rsid w:val="00987F17"/>
    <w:rsid w:val="00990BE1"/>
    <w:rsid w:val="00990D10"/>
    <w:rsid w:val="00993532"/>
    <w:rsid w:val="00996DBE"/>
    <w:rsid w:val="00996ED6"/>
    <w:rsid w:val="009A0780"/>
    <w:rsid w:val="009A6396"/>
    <w:rsid w:val="009A669B"/>
    <w:rsid w:val="009B0C03"/>
    <w:rsid w:val="009B1389"/>
    <w:rsid w:val="009B1ADB"/>
    <w:rsid w:val="009B1CA4"/>
    <w:rsid w:val="009B56E1"/>
    <w:rsid w:val="009B7DD6"/>
    <w:rsid w:val="009C0CDF"/>
    <w:rsid w:val="009C0E65"/>
    <w:rsid w:val="009C500A"/>
    <w:rsid w:val="009C7F3F"/>
    <w:rsid w:val="009D2C4F"/>
    <w:rsid w:val="009D35C9"/>
    <w:rsid w:val="009D3D14"/>
    <w:rsid w:val="009D6955"/>
    <w:rsid w:val="009D6D63"/>
    <w:rsid w:val="009D7A0B"/>
    <w:rsid w:val="009E056D"/>
    <w:rsid w:val="009E07C0"/>
    <w:rsid w:val="009E21AC"/>
    <w:rsid w:val="009E2657"/>
    <w:rsid w:val="009E312D"/>
    <w:rsid w:val="009E6D9F"/>
    <w:rsid w:val="009F17C7"/>
    <w:rsid w:val="009F3642"/>
    <w:rsid w:val="009F3C03"/>
    <w:rsid w:val="009F52AC"/>
    <w:rsid w:val="009F76A0"/>
    <w:rsid w:val="00A05F8B"/>
    <w:rsid w:val="00A06692"/>
    <w:rsid w:val="00A076AE"/>
    <w:rsid w:val="00A079B2"/>
    <w:rsid w:val="00A150F6"/>
    <w:rsid w:val="00A160A0"/>
    <w:rsid w:val="00A17016"/>
    <w:rsid w:val="00A178CD"/>
    <w:rsid w:val="00A207FC"/>
    <w:rsid w:val="00A21704"/>
    <w:rsid w:val="00A230EC"/>
    <w:rsid w:val="00A274FB"/>
    <w:rsid w:val="00A40131"/>
    <w:rsid w:val="00A52086"/>
    <w:rsid w:val="00A52FA9"/>
    <w:rsid w:val="00A560BF"/>
    <w:rsid w:val="00A613AE"/>
    <w:rsid w:val="00A6404D"/>
    <w:rsid w:val="00A64412"/>
    <w:rsid w:val="00A71768"/>
    <w:rsid w:val="00A725A7"/>
    <w:rsid w:val="00A72EE0"/>
    <w:rsid w:val="00A75D7F"/>
    <w:rsid w:val="00A77BCB"/>
    <w:rsid w:val="00A90DFB"/>
    <w:rsid w:val="00A929FD"/>
    <w:rsid w:val="00A9368E"/>
    <w:rsid w:val="00A94AE7"/>
    <w:rsid w:val="00A953E6"/>
    <w:rsid w:val="00AA3726"/>
    <w:rsid w:val="00AB3420"/>
    <w:rsid w:val="00AC565C"/>
    <w:rsid w:val="00AC60EA"/>
    <w:rsid w:val="00AD2084"/>
    <w:rsid w:val="00AD3CBC"/>
    <w:rsid w:val="00AD6667"/>
    <w:rsid w:val="00AD6A9D"/>
    <w:rsid w:val="00AE0685"/>
    <w:rsid w:val="00AE0749"/>
    <w:rsid w:val="00AE2444"/>
    <w:rsid w:val="00AE3A21"/>
    <w:rsid w:val="00AE3C16"/>
    <w:rsid w:val="00AE4761"/>
    <w:rsid w:val="00AE4D77"/>
    <w:rsid w:val="00AF5CCF"/>
    <w:rsid w:val="00B0124B"/>
    <w:rsid w:val="00B015AF"/>
    <w:rsid w:val="00B060EE"/>
    <w:rsid w:val="00B06893"/>
    <w:rsid w:val="00B106F8"/>
    <w:rsid w:val="00B14EBB"/>
    <w:rsid w:val="00B168DE"/>
    <w:rsid w:val="00B16B81"/>
    <w:rsid w:val="00B23176"/>
    <w:rsid w:val="00B32B38"/>
    <w:rsid w:val="00B375D7"/>
    <w:rsid w:val="00B4199D"/>
    <w:rsid w:val="00B527AC"/>
    <w:rsid w:val="00B5311E"/>
    <w:rsid w:val="00B53606"/>
    <w:rsid w:val="00B54AC8"/>
    <w:rsid w:val="00B5539E"/>
    <w:rsid w:val="00B60520"/>
    <w:rsid w:val="00B6187D"/>
    <w:rsid w:val="00B634E8"/>
    <w:rsid w:val="00B63FF4"/>
    <w:rsid w:val="00B70295"/>
    <w:rsid w:val="00B71591"/>
    <w:rsid w:val="00B748A3"/>
    <w:rsid w:val="00B76611"/>
    <w:rsid w:val="00B766C8"/>
    <w:rsid w:val="00B77C6E"/>
    <w:rsid w:val="00B77FDE"/>
    <w:rsid w:val="00B80A2E"/>
    <w:rsid w:val="00B833BF"/>
    <w:rsid w:val="00B84EA9"/>
    <w:rsid w:val="00B85F09"/>
    <w:rsid w:val="00B866EA"/>
    <w:rsid w:val="00B90CE6"/>
    <w:rsid w:val="00B911A4"/>
    <w:rsid w:val="00B92BAE"/>
    <w:rsid w:val="00B9640B"/>
    <w:rsid w:val="00B97DD1"/>
    <w:rsid w:val="00BA3DD1"/>
    <w:rsid w:val="00BA6692"/>
    <w:rsid w:val="00BB2B88"/>
    <w:rsid w:val="00BB657C"/>
    <w:rsid w:val="00BD0A21"/>
    <w:rsid w:val="00BD0D08"/>
    <w:rsid w:val="00BE3E44"/>
    <w:rsid w:val="00BE7901"/>
    <w:rsid w:val="00BF0FE3"/>
    <w:rsid w:val="00BF5931"/>
    <w:rsid w:val="00C01471"/>
    <w:rsid w:val="00C02B62"/>
    <w:rsid w:val="00C05937"/>
    <w:rsid w:val="00C161F9"/>
    <w:rsid w:val="00C16F23"/>
    <w:rsid w:val="00C17965"/>
    <w:rsid w:val="00C20255"/>
    <w:rsid w:val="00C203AE"/>
    <w:rsid w:val="00C254F0"/>
    <w:rsid w:val="00C26512"/>
    <w:rsid w:val="00C269F1"/>
    <w:rsid w:val="00C331AE"/>
    <w:rsid w:val="00C34EB9"/>
    <w:rsid w:val="00C41F69"/>
    <w:rsid w:val="00C47534"/>
    <w:rsid w:val="00C51C10"/>
    <w:rsid w:val="00C52691"/>
    <w:rsid w:val="00C54489"/>
    <w:rsid w:val="00C576F2"/>
    <w:rsid w:val="00C67E48"/>
    <w:rsid w:val="00C76910"/>
    <w:rsid w:val="00C840DD"/>
    <w:rsid w:val="00C847FB"/>
    <w:rsid w:val="00C869FB"/>
    <w:rsid w:val="00C9047D"/>
    <w:rsid w:val="00C90E32"/>
    <w:rsid w:val="00C97FD0"/>
    <w:rsid w:val="00CA46EC"/>
    <w:rsid w:val="00CA667B"/>
    <w:rsid w:val="00CA704A"/>
    <w:rsid w:val="00CB25EA"/>
    <w:rsid w:val="00CB4286"/>
    <w:rsid w:val="00CB7DB9"/>
    <w:rsid w:val="00CC2649"/>
    <w:rsid w:val="00CC2DC3"/>
    <w:rsid w:val="00CC3C9F"/>
    <w:rsid w:val="00CC47E5"/>
    <w:rsid w:val="00CC64B1"/>
    <w:rsid w:val="00CC7CFC"/>
    <w:rsid w:val="00CD096A"/>
    <w:rsid w:val="00CD0C5F"/>
    <w:rsid w:val="00CD1544"/>
    <w:rsid w:val="00CD20EF"/>
    <w:rsid w:val="00CD38FF"/>
    <w:rsid w:val="00CE0FF0"/>
    <w:rsid w:val="00CE1C7E"/>
    <w:rsid w:val="00CF2A43"/>
    <w:rsid w:val="00CF435E"/>
    <w:rsid w:val="00CF735B"/>
    <w:rsid w:val="00D0534D"/>
    <w:rsid w:val="00D05E81"/>
    <w:rsid w:val="00D10C44"/>
    <w:rsid w:val="00D138BA"/>
    <w:rsid w:val="00D13A5D"/>
    <w:rsid w:val="00D1436C"/>
    <w:rsid w:val="00D16552"/>
    <w:rsid w:val="00D16576"/>
    <w:rsid w:val="00D171A6"/>
    <w:rsid w:val="00D209A9"/>
    <w:rsid w:val="00D227D8"/>
    <w:rsid w:val="00D24549"/>
    <w:rsid w:val="00D27FF8"/>
    <w:rsid w:val="00D30CD0"/>
    <w:rsid w:val="00D41DE5"/>
    <w:rsid w:val="00D4587F"/>
    <w:rsid w:val="00D52176"/>
    <w:rsid w:val="00D57406"/>
    <w:rsid w:val="00D6210C"/>
    <w:rsid w:val="00D66671"/>
    <w:rsid w:val="00D667F8"/>
    <w:rsid w:val="00D710A0"/>
    <w:rsid w:val="00D74444"/>
    <w:rsid w:val="00D74C31"/>
    <w:rsid w:val="00D750C9"/>
    <w:rsid w:val="00D7555A"/>
    <w:rsid w:val="00D75B49"/>
    <w:rsid w:val="00D76DEA"/>
    <w:rsid w:val="00D77DBD"/>
    <w:rsid w:val="00D8030D"/>
    <w:rsid w:val="00D8052D"/>
    <w:rsid w:val="00D82FED"/>
    <w:rsid w:val="00D86538"/>
    <w:rsid w:val="00D87817"/>
    <w:rsid w:val="00D917BB"/>
    <w:rsid w:val="00D93B10"/>
    <w:rsid w:val="00D946F4"/>
    <w:rsid w:val="00D97F39"/>
    <w:rsid w:val="00DA0E73"/>
    <w:rsid w:val="00DB2287"/>
    <w:rsid w:val="00DB6D3E"/>
    <w:rsid w:val="00DB73F8"/>
    <w:rsid w:val="00DB753F"/>
    <w:rsid w:val="00DB7687"/>
    <w:rsid w:val="00DC16C0"/>
    <w:rsid w:val="00DC2F33"/>
    <w:rsid w:val="00DD2C38"/>
    <w:rsid w:val="00DD3CD9"/>
    <w:rsid w:val="00DE63AB"/>
    <w:rsid w:val="00DF0D43"/>
    <w:rsid w:val="00DF1702"/>
    <w:rsid w:val="00DF74CA"/>
    <w:rsid w:val="00E057FB"/>
    <w:rsid w:val="00E10981"/>
    <w:rsid w:val="00E11056"/>
    <w:rsid w:val="00E17E61"/>
    <w:rsid w:val="00E213FF"/>
    <w:rsid w:val="00E21822"/>
    <w:rsid w:val="00E31D66"/>
    <w:rsid w:val="00E32F4B"/>
    <w:rsid w:val="00E33AE5"/>
    <w:rsid w:val="00E43654"/>
    <w:rsid w:val="00E44DB6"/>
    <w:rsid w:val="00E473D7"/>
    <w:rsid w:val="00E53893"/>
    <w:rsid w:val="00E54453"/>
    <w:rsid w:val="00E55422"/>
    <w:rsid w:val="00E5689D"/>
    <w:rsid w:val="00E5731E"/>
    <w:rsid w:val="00E6018B"/>
    <w:rsid w:val="00E606DC"/>
    <w:rsid w:val="00E60AD8"/>
    <w:rsid w:val="00E62042"/>
    <w:rsid w:val="00E6376C"/>
    <w:rsid w:val="00E63F04"/>
    <w:rsid w:val="00E652A3"/>
    <w:rsid w:val="00E67580"/>
    <w:rsid w:val="00E678C4"/>
    <w:rsid w:val="00E67A6A"/>
    <w:rsid w:val="00E67A84"/>
    <w:rsid w:val="00E70902"/>
    <w:rsid w:val="00E73548"/>
    <w:rsid w:val="00E812CD"/>
    <w:rsid w:val="00E84175"/>
    <w:rsid w:val="00E91DF4"/>
    <w:rsid w:val="00E929EA"/>
    <w:rsid w:val="00E9537D"/>
    <w:rsid w:val="00E95A12"/>
    <w:rsid w:val="00E9787F"/>
    <w:rsid w:val="00EA7885"/>
    <w:rsid w:val="00EB4FFD"/>
    <w:rsid w:val="00EB6B73"/>
    <w:rsid w:val="00EB7CE6"/>
    <w:rsid w:val="00EC0CDE"/>
    <w:rsid w:val="00EC4978"/>
    <w:rsid w:val="00EC6271"/>
    <w:rsid w:val="00EE08F2"/>
    <w:rsid w:val="00EE2E72"/>
    <w:rsid w:val="00EE74F3"/>
    <w:rsid w:val="00EF1B62"/>
    <w:rsid w:val="00EF3938"/>
    <w:rsid w:val="00EF49BB"/>
    <w:rsid w:val="00EF5C36"/>
    <w:rsid w:val="00EF6719"/>
    <w:rsid w:val="00EF73CA"/>
    <w:rsid w:val="00F00011"/>
    <w:rsid w:val="00F00898"/>
    <w:rsid w:val="00F01D44"/>
    <w:rsid w:val="00F0385E"/>
    <w:rsid w:val="00F117F7"/>
    <w:rsid w:val="00F12F27"/>
    <w:rsid w:val="00F131AC"/>
    <w:rsid w:val="00F22C02"/>
    <w:rsid w:val="00F233E1"/>
    <w:rsid w:val="00F23A2B"/>
    <w:rsid w:val="00F3252C"/>
    <w:rsid w:val="00F34337"/>
    <w:rsid w:val="00F36C96"/>
    <w:rsid w:val="00F405E2"/>
    <w:rsid w:val="00F42379"/>
    <w:rsid w:val="00F44ED9"/>
    <w:rsid w:val="00F50C33"/>
    <w:rsid w:val="00F520CF"/>
    <w:rsid w:val="00F52D29"/>
    <w:rsid w:val="00F54CE4"/>
    <w:rsid w:val="00F5790F"/>
    <w:rsid w:val="00F643E5"/>
    <w:rsid w:val="00F66569"/>
    <w:rsid w:val="00F67C4A"/>
    <w:rsid w:val="00F75C60"/>
    <w:rsid w:val="00F7630C"/>
    <w:rsid w:val="00F8524D"/>
    <w:rsid w:val="00F86978"/>
    <w:rsid w:val="00F87FB8"/>
    <w:rsid w:val="00F92811"/>
    <w:rsid w:val="00F92A5B"/>
    <w:rsid w:val="00F937E8"/>
    <w:rsid w:val="00F943BC"/>
    <w:rsid w:val="00FA412C"/>
    <w:rsid w:val="00FA5A49"/>
    <w:rsid w:val="00FA707F"/>
    <w:rsid w:val="00FB4DD3"/>
    <w:rsid w:val="00FB5E8B"/>
    <w:rsid w:val="00FB7ED0"/>
    <w:rsid w:val="00FD0FD4"/>
    <w:rsid w:val="00FD3744"/>
    <w:rsid w:val="00FD7035"/>
    <w:rsid w:val="00FE0964"/>
    <w:rsid w:val="00FE09A0"/>
    <w:rsid w:val="00FE231E"/>
    <w:rsid w:val="00FE2915"/>
    <w:rsid w:val="00FE40FC"/>
    <w:rsid w:val="00FE49BE"/>
    <w:rsid w:val="00FE73BD"/>
    <w:rsid w:val="00FF32D9"/>
    <w:rsid w:val="00FF4AC5"/>
    <w:rsid w:val="01681BA8"/>
    <w:rsid w:val="020A1250"/>
    <w:rsid w:val="02763597"/>
    <w:rsid w:val="05522F1D"/>
    <w:rsid w:val="055D205A"/>
    <w:rsid w:val="0AB628C0"/>
    <w:rsid w:val="0B4E3A9D"/>
    <w:rsid w:val="0DA533DB"/>
    <w:rsid w:val="1625747D"/>
    <w:rsid w:val="16CC6477"/>
    <w:rsid w:val="17496EF0"/>
    <w:rsid w:val="19983F1D"/>
    <w:rsid w:val="1B633B7D"/>
    <w:rsid w:val="1E7C1B33"/>
    <w:rsid w:val="1EE547EE"/>
    <w:rsid w:val="1FD1192C"/>
    <w:rsid w:val="1FE13337"/>
    <w:rsid w:val="2ABA2045"/>
    <w:rsid w:val="2DF66D0F"/>
    <w:rsid w:val="308333A6"/>
    <w:rsid w:val="378F2A44"/>
    <w:rsid w:val="3C785F45"/>
    <w:rsid w:val="3D164E74"/>
    <w:rsid w:val="3D477979"/>
    <w:rsid w:val="3D763592"/>
    <w:rsid w:val="3E3C0FD3"/>
    <w:rsid w:val="402321C3"/>
    <w:rsid w:val="442803A6"/>
    <w:rsid w:val="4A143074"/>
    <w:rsid w:val="4AB6563C"/>
    <w:rsid w:val="4BD9235C"/>
    <w:rsid w:val="4C360635"/>
    <w:rsid w:val="4CE1160F"/>
    <w:rsid w:val="4EF61919"/>
    <w:rsid w:val="50000ED0"/>
    <w:rsid w:val="50C45B87"/>
    <w:rsid w:val="51522A0A"/>
    <w:rsid w:val="5248208F"/>
    <w:rsid w:val="557B4AE4"/>
    <w:rsid w:val="57C22463"/>
    <w:rsid w:val="584E4011"/>
    <w:rsid w:val="5A856C3A"/>
    <w:rsid w:val="5DDA298A"/>
    <w:rsid w:val="67CB14D2"/>
    <w:rsid w:val="69090FE4"/>
    <w:rsid w:val="6EC144F2"/>
    <w:rsid w:val="6F8C10A3"/>
    <w:rsid w:val="6FE70627"/>
    <w:rsid w:val="732B4E81"/>
    <w:rsid w:val="733D289D"/>
    <w:rsid w:val="74064E17"/>
    <w:rsid w:val="767347EB"/>
    <w:rsid w:val="789F07F6"/>
    <w:rsid w:val="795846B7"/>
    <w:rsid w:val="795F53B0"/>
    <w:rsid w:val="7DC43066"/>
    <w:rsid w:val="7FF50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spacing w:before="117"/>
      <w:ind w:right="132"/>
      <w:jc w:val="center"/>
      <w:outlineLvl w:val="1"/>
    </w:pPr>
    <w:rPr>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0"/>
  </w:style>
  <w:style w:type="paragraph" w:styleId="5">
    <w:name w:val="Body Text"/>
    <w:basedOn w:val="1"/>
    <w:link w:val="18"/>
    <w:qFormat/>
    <w:uiPriority w:val="1"/>
    <w:pPr>
      <w:spacing w:before="161"/>
      <w:ind w:left="120" w:firstLine="479"/>
    </w:pPr>
    <w:rPr>
      <w:sz w:val="24"/>
      <w:szCs w:val="24"/>
    </w:rPr>
  </w:style>
  <w:style w:type="paragraph" w:styleId="6">
    <w:name w:val="toc 3"/>
    <w:basedOn w:val="1"/>
    <w:next w:val="1"/>
    <w:unhideWhenUsed/>
    <w:qFormat/>
    <w:uiPriority w:val="39"/>
    <w:pPr>
      <w:widowControl/>
      <w:autoSpaceDE/>
      <w:autoSpaceDN/>
      <w:spacing w:after="100" w:line="259" w:lineRule="auto"/>
      <w:ind w:left="440"/>
    </w:pPr>
    <w:rPr>
      <w:rFonts w:cs="Times New Roman" w:asciiTheme="minorHAnsi" w:hAnsiTheme="minorHAnsi" w:eastAsiaTheme="minorEastAsia"/>
      <w:lang w:val="en-US" w:bidi="ar-SA"/>
    </w:rPr>
  </w:style>
  <w:style w:type="paragraph" w:styleId="7">
    <w:name w:val="Date"/>
    <w:basedOn w:val="1"/>
    <w:next w:val="1"/>
    <w:link w:val="26"/>
    <w:semiHidden/>
    <w:unhideWhenUsed/>
    <w:qFormat/>
    <w:uiPriority w:val="99"/>
    <w:pPr>
      <w:ind w:left="100" w:leftChars="2500"/>
    </w:pPr>
  </w:style>
  <w:style w:type="paragraph" w:styleId="8">
    <w:name w:val="Balloon Text"/>
    <w:basedOn w:val="1"/>
    <w:link w:val="29"/>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61"/>
      <w:ind w:left="120"/>
    </w:pPr>
    <w:rPr>
      <w:sz w:val="24"/>
      <w:szCs w:val="24"/>
    </w:rPr>
  </w:style>
  <w:style w:type="paragraph" w:styleId="12">
    <w:name w:val="toc 2"/>
    <w:basedOn w:val="1"/>
    <w:next w:val="1"/>
    <w:unhideWhenUsed/>
    <w:qFormat/>
    <w:uiPriority w:val="39"/>
    <w:pPr>
      <w:widowControl/>
      <w:autoSpaceDE/>
      <w:autoSpaceDN/>
      <w:spacing w:after="100" w:line="259" w:lineRule="auto"/>
      <w:ind w:left="220"/>
    </w:pPr>
    <w:rPr>
      <w:rFonts w:cs="Times New Roman" w:asciiTheme="minorHAnsi" w:hAnsiTheme="minorHAnsi" w:eastAsiaTheme="minorEastAsia"/>
      <w:lang w:val="en-US" w:bidi="ar-SA"/>
    </w:rPr>
  </w:style>
  <w:style w:type="paragraph" w:styleId="13">
    <w:name w:val="annotation subject"/>
    <w:basedOn w:val="4"/>
    <w:next w:val="4"/>
    <w:link w:val="28"/>
    <w:semiHidden/>
    <w:unhideWhenUsed/>
    <w:qFormat/>
    <w:uiPriority w:val="99"/>
    <w:rPr>
      <w:b/>
      <w:bCs/>
    </w:r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unhideWhenUsed/>
    <w:qFormat/>
    <w:uiPriority w:val="0"/>
    <w:rPr>
      <w:sz w:val="21"/>
      <w:szCs w:val="21"/>
    </w:rPr>
  </w:style>
  <w:style w:type="character" w:customStyle="1" w:styleId="18">
    <w:name w:val="正文文本 字符"/>
    <w:basedOn w:val="15"/>
    <w:link w:val="5"/>
    <w:qFormat/>
    <w:uiPriority w:val="1"/>
    <w:rPr>
      <w:rFonts w:ascii="宋体" w:hAnsi="宋体" w:eastAsia="宋体" w:cs="宋体"/>
      <w:kern w:val="0"/>
      <w:sz w:val="24"/>
      <w:szCs w:val="24"/>
      <w:lang w:val="zh-CN" w:bidi="zh-CN"/>
    </w:rPr>
  </w:style>
  <w:style w:type="paragraph" w:styleId="19">
    <w:name w:val="List Paragraph"/>
    <w:basedOn w:val="1"/>
    <w:qFormat/>
    <w:uiPriority w:val="1"/>
    <w:pPr>
      <w:spacing w:before="1"/>
      <w:ind w:left="120" w:firstLine="479"/>
    </w:pPr>
  </w:style>
  <w:style w:type="character" w:customStyle="1" w:styleId="20">
    <w:name w:val="标题 2 字符"/>
    <w:basedOn w:val="15"/>
    <w:link w:val="3"/>
    <w:qFormat/>
    <w:uiPriority w:val="9"/>
    <w:rPr>
      <w:rFonts w:ascii="宋体" w:hAnsi="宋体" w:eastAsia="宋体" w:cs="宋体"/>
      <w:kern w:val="0"/>
      <w:sz w:val="28"/>
      <w:szCs w:val="28"/>
      <w:lang w:val="zh-CN" w:bidi="zh-CN"/>
    </w:rPr>
  </w:style>
  <w:style w:type="character" w:customStyle="1" w:styleId="21">
    <w:name w:val="批注文字 字符"/>
    <w:basedOn w:val="15"/>
    <w:link w:val="4"/>
    <w:qFormat/>
    <w:uiPriority w:val="99"/>
    <w:rPr>
      <w:rFonts w:ascii="宋体" w:hAnsi="宋体" w:eastAsia="宋体" w:cs="宋体"/>
      <w:kern w:val="0"/>
      <w:sz w:val="22"/>
      <w:lang w:val="zh-CN" w:bidi="zh-CN"/>
    </w:rPr>
  </w:style>
  <w:style w:type="character" w:customStyle="1" w:styleId="22">
    <w:name w:val="标题 1 字符"/>
    <w:basedOn w:val="15"/>
    <w:link w:val="2"/>
    <w:qFormat/>
    <w:uiPriority w:val="9"/>
    <w:rPr>
      <w:rFonts w:ascii="宋体" w:hAnsi="宋体" w:eastAsia="宋体" w:cs="宋体"/>
      <w:b/>
      <w:bCs/>
      <w:kern w:val="44"/>
      <w:sz w:val="44"/>
      <w:szCs w:val="44"/>
      <w:lang w:val="zh-CN" w:bidi="zh-CN"/>
    </w:rPr>
  </w:style>
  <w:style w:type="character" w:customStyle="1" w:styleId="23">
    <w:name w:val="页眉 字符"/>
    <w:basedOn w:val="15"/>
    <w:link w:val="10"/>
    <w:qFormat/>
    <w:uiPriority w:val="99"/>
    <w:rPr>
      <w:rFonts w:ascii="宋体" w:hAnsi="宋体" w:eastAsia="宋体" w:cs="宋体"/>
      <w:kern w:val="0"/>
      <w:sz w:val="18"/>
      <w:szCs w:val="18"/>
      <w:lang w:val="zh-CN" w:bidi="zh-CN"/>
    </w:rPr>
  </w:style>
  <w:style w:type="character" w:customStyle="1" w:styleId="24">
    <w:name w:val="页脚 字符"/>
    <w:basedOn w:val="15"/>
    <w:link w:val="9"/>
    <w:qFormat/>
    <w:uiPriority w:val="99"/>
    <w:rPr>
      <w:rFonts w:ascii="宋体" w:hAnsi="宋体" w:eastAsia="宋体" w:cs="宋体"/>
      <w:kern w:val="0"/>
      <w:sz w:val="18"/>
      <w:szCs w:val="18"/>
      <w:lang w:val="zh-CN" w:bidi="zh-CN"/>
    </w:rPr>
  </w:style>
  <w:style w:type="paragraph" w:customStyle="1" w:styleId="25">
    <w:name w:val="TOC 标题1"/>
    <w:basedOn w:val="2"/>
    <w:next w:val="1"/>
    <w:unhideWhenUsed/>
    <w:qFormat/>
    <w:uiPriority w:val="39"/>
    <w:pPr>
      <w:widowControl/>
      <w:autoSpaceDE/>
      <w:autoSpaceDN/>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lang w:val="en-US" w:bidi="ar-SA"/>
    </w:rPr>
  </w:style>
  <w:style w:type="character" w:customStyle="1" w:styleId="26">
    <w:name w:val="日期 字符"/>
    <w:basedOn w:val="15"/>
    <w:link w:val="7"/>
    <w:semiHidden/>
    <w:qFormat/>
    <w:uiPriority w:val="99"/>
    <w:rPr>
      <w:rFonts w:ascii="宋体" w:hAnsi="宋体" w:eastAsia="宋体" w:cs="宋体"/>
      <w:kern w:val="0"/>
      <w:sz w:val="22"/>
      <w:lang w:val="zh-CN" w:bidi="zh-CN"/>
    </w:rPr>
  </w:style>
  <w:style w:type="paragraph" w:customStyle="1" w:styleId="27">
    <w:name w:val="修订1"/>
    <w:hidden/>
    <w:semiHidden/>
    <w:qFormat/>
    <w:uiPriority w:val="99"/>
    <w:rPr>
      <w:rFonts w:ascii="宋体" w:hAnsi="宋体" w:eastAsia="宋体" w:cs="宋体"/>
      <w:sz w:val="22"/>
      <w:szCs w:val="22"/>
      <w:lang w:val="zh-CN" w:eastAsia="zh-CN" w:bidi="zh-CN"/>
    </w:rPr>
  </w:style>
  <w:style w:type="character" w:customStyle="1" w:styleId="28">
    <w:name w:val="批注主题 字符"/>
    <w:basedOn w:val="21"/>
    <w:link w:val="13"/>
    <w:semiHidden/>
    <w:qFormat/>
    <w:uiPriority w:val="99"/>
    <w:rPr>
      <w:rFonts w:ascii="宋体" w:hAnsi="宋体" w:eastAsia="宋体" w:cs="宋体"/>
      <w:b/>
      <w:bCs/>
      <w:kern w:val="0"/>
      <w:sz w:val="22"/>
      <w:lang w:val="zh-CN" w:bidi="zh-CN"/>
    </w:rPr>
  </w:style>
  <w:style w:type="character" w:customStyle="1" w:styleId="29">
    <w:name w:val="批注框文本 字符"/>
    <w:basedOn w:val="15"/>
    <w:link w:val="8"/>
    <w:semiHidden/>
    <w:qFormat/>
    <w:uiPriority w:val="99"/>
    <w:rPr>
      <w:rFonts w:ascii="宋体" w:hAnsi="宋体" w:eastAsia="宋体" w:cs="宋体"/>
      <w:kern w:val="0"/>
      <w:sz w:val="18"/>
      <w:szCs w:val="18"/>
      <w:lang w:val="zh-CN" w:bidi="zh-CN"/>
    </w:rPr>
  </w:style>
  <w:style w:type="paragraph" w:customStyle="1" w:styleId="30">
    <w:name w:val="修订2"/>
    <w:hidden/>
    <w:unhideWhenUsed/>
    <w:qFormat/>
    <w:uiPriority w:val="99"/>
    <w:rPr>
      <w:rFonts w:ascii="宋体" w:hAnsi="宋体" w:eastAsia="宋体" w:cs="宋体"/>
      <w:sz w:val="22"/>
      <w:szCs w:val="22"/>
      <w:lang w:val="zh-CN" w:eastAsia="zh-CN" w:bidi="zh-CN"/>
    </w:rPr>
  </w:style>
  <w:style w:type="paragraph" w:customStyle="1" w:styleId="31">
    <w:name w:val="修订3"/>
    <w:hidden/>
    <w:unhideWhenUsed/>
    <w:qFormat/>
    <w:uiPriority w:val="99"/>
    <w:rPr>
      <w:rFonts w:ascii="宋体" w:hAnsi="宋体" w:eastAsia="宋体" w:cs="宋体"/>
      <w:sz w:val="22"/>
      <w:szCs w:val="22"/>
      <w:lang w:val="zh-CN" w:eastAsia="zh-CN" w:bidi="zh-CN"/>
    </w:rPr>
  </w:style>
  <w:style w:type="paragraph" w:customStyle="1" w:styleId="32">
    <w:name w:val="修订4"/>
    <w:hidden/>
    <w:unhideWhenUsed/>
    <w:qFormat/>
    <w:uiPriority w:val="99"/>
    <w:rPr>
      <w:rFonts w:ascii="宋体" w:hAnsi="宋体" w:eastAsia="宋体" w:cs="宋体"/>
      <w:sz w:val="22"/>
      <w:szCs w:val="22"/>
      <w:lang w:val="zh-CN" w:eastAsia="zh-CN" w:bidi="zh-CN"/>
    </w:rPr>
  </w:style>
  <w:style w:type="paragraph" w:customStyle="1" w:styleId="33">
    <w:name w:val="修订5"/>
    <w:hidden/>
    <w:unhideWhenUsed/>
    <w:qFormat/>
    <w:uiPriority w:val="99"/>
    <w:rPr>
      <w:rFonts w:ascii="宋体" w:hAnsi="宋体" w:eastAsia="宋体" w:cs="宋体"/>
      <w:sz w:val="22"/>
      <w:szCs w:val="22"/>
      <w:lang w:val="zh-CN" w:eastAsia="zh-CN" w:bidi="zh-CN"/>
    </w:rPr>
  </w:style>
  <w:style w:type="paragraph" w:customStyle="1" w:styleId="34">
    <w:name w:val="修订6"/>
    <w:hidden/>
    <w:unhideWhenUsed/>
    <w:qFormat/>
    <w:uiPriority w:val="99"/>
    <w:rPr>
      <w:rFonts w:ascii="宋体" w:hAnsi="宋体" w:eastAsia="宋体" w:cs="宋体"/>
      <w:sz w:val="22"/>
      <w:szCs w:val="22"/>
      <w:lang w:val="zh-CN" w:eastAsia="zh-CN" w:bidi="zh-CN"/>
    </w:rPr>
  </w:style>
  <w:style w:type="paragraph" w:customStyle="1" w:styleId="35">
    <w:name w:val="修订7"/>
    <w:hidden/>
    <w:unhideWhenUsed/>
    <w:qFormat/>
    <w:uiPriority w:val="99"/>
    <w:rPr>
      <w:rFonts w:ascii="宋体" w:hAnsi="宋体" w:eastAsia="宋体" w:cs="宋体"/>
      <w:sz w:val="22"/>
      <w:szCs w:val="22"/>
      <w:lang w:val="zh-CN" w:eastAsia="zh-CN" w:bidi="zh-CN"/>
    </w:rPr>
  </w:style>
  <w:style w:type="paragraph" w:customStyle="1" w:styleId="36">
    <w:name w:val="修订8"/>
    <w:hidden/>
    <w:unhideWhenUsed/>
    <w:qFormat/>
    <w:uiPriority w:val="99"/>
    <w:rPr>
      <w:rFonts w:ascii="宋体" w:hAnsi="宋体" w:eastAsia="宋体" w:cs="宋体"/>
      <w:sz w:val="22"/>
      <w:szCs w:val="22"/>
      <w:lang w:val="zh-CN" w:eastAsia="zh-CN" w:bidi="zh-CN"/>
    </w:rPr>
  </w:style>
  <w:style w:type="paragraph" w:customStyle="1" w:styleId="37">
    <w:name w:val="修订9"/>
    <w:hidden/>
    <w:unhideWhenUsed/>
    <w:qFormat/>
    <w:uiPriority w:val="99"/>
    <w:rPr>
      <w:rFonts w:ascii="宋体" w:hAnsi="宋体" w:eastAsia="宋体" w:cs="宋体"/>
      <w:sz w:val="22"/>
      <w:szCs w:val="22"/>
      <w:lang w:val="zh-CN" w:eastAsia="zh-CN" w:bidi="zh-CN"/>
    </w:rPr>
  </w:style>
  <w:style w:type="paragraph" w:customStyle="1" w:styleId="38">
    <w:name w:val="修订10"/>
    <w:hidden/>
    <w:unhideWhenUsed/>
    <w:qFormat/>
    <w:uiPriority w:val="99"/>
    <w:rPr>
      <w:rFonts w:ascii="宋体" w:hAnsi="宋体" w:eastAsia="宋体" w:cs="宋体"/>
      <w:sz w:val="22"/>
      <w:szCs w:val="22"/>
      <w:lang w:val="zh-CN" w:eastAsia="zh-CN" w:bidi="zh-CN"/>
    </w:rPr>
  </w:style>
  <w:style w:type="paragraph" w:customStyle="1" w:styleId="39">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67AFA-BA7B-4777-AF2C-A7F8BB0015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108</Pages>
  <Words>11544</Words>
  <Characters>65805</Characters>
  <Lines>548</Lines>
  <Paragraphs>154</Paragraphs>
  <TotalTime>1</TotalTime>
  <ScaleCrop>false</ScaleCrop>
  <LinksUpToDate>false</LinksUpToDate>
  <CharactersWithSpaces>77195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2026-03-10T02:27:00Z</dcterms:created>
  <dc:creator>zh</dc:creator>
  <cp:lastModifiedBy>杨雪菲-国金托管</cp:lastModifiedBy>
  <cp:lastPrinted>2025-07-16T06:18:00Z</cp:lastPrinted>
  <dcterms:modified xsi:type="dcterms:W3CDTF">2026-03-11T08:06:27Z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[DocID]=4EB553FE-B523-4332-8A19-F7464E647624</vt:lpwstr>
  </property>
  <property fmtid="{D5CDD505-2E9C-101B-9397-08002B2CF9AE}" pid="3" name="_IPGFLOW_P-8DD5_E-1_FP-1_CV-C2F382F7_CN-DD04090C">
    <vt:lpwstr>gZLr7ztbeAAuBQqEUYNvRuJZzTSlGv8cYVefy5ECHqfwGXc7knIBvEbdcLosdMBrTOeEc1hnYa0Gn8X2epktWwB3WrI94KJc94PXso85dUaIBAqOIJiC3RRXxNWnjvvC</vt:lpwstr>
  </property>
  <property fmtid="{D5CDD505-2E9C-101B-9397-08002B2CF9AE}" pid="4" name="KSOProductBuildVer">
    <vt:lpwstr>2052-11.8.2.11716</vt:lpwstr>
  </property>
  <property fmtid="{D5CDD505-2E9C-101B-9397-08002B2CF9AE}" pid="5" name="ICV">
    <vt:lpwstr>C123776BC4EE40E3B5674C2880386CC5_13</vt:lpwstr>
  </property>
  <property fmtid="{D5CDD505-2E9C-101B-9397-08002B2CF9AE}" pid="6" name="_IPGFLOW_P-8DD5_E-1_FP-2_CV-34A0BEAC_CN-B8FE96CF">
    <vt:lpwstr>gZLr7ztbeAAuBQqEUYNvRuAiiejOpNpiq9xsy9d4pjvWaFLBvq4CEC+LUaL2bjJyaN17ZgOF0wWcbdoHZcBIBGmaREaD8AWPmIN7pZxepwOpgxqTud9rkwHrV/2nmhjQ</vt:lpwstr>
  </property>
  <property fmtid="{D5CDD505-2E9C-101B-9397-08002B2CF9AE}" pid="7" name="_IPGFLOW_P-8DD5_E-1_FP-3_CV-E8F9D801_CN-298F1398">
    <vt:lpwstr>iawpQm2XQJ0ndhubhf78NgOpRwlySHRRAGTqhB1QsutN6bG5sDyCs0Mr1IBlA+wM6AIqP+IHcrFm3t6cSRUaCuDYUkhP6quhH5yzRnkzf4Y=</vt:lpwstr>
  </property>
  <property fmtid="{D5CDD505-2E9C-101B-9397-08002B2CF9AE}" pid="8" name="_IPGFLOW_P-8DD5_E-1_FP-4_CV-97D1E62B_CN-6DEB0357">
    <vt:lpwstr>iawpQm2XQJ0ndhubhf78NuA7N1NwEiKaRdkFZ1v+4y/8PinoBMsquVkQ9xj6dSj4fSDzfDSRIwKxbHt7lP/mqJTu+2CmkW+TDIo5O6EGBRk=</vt:lpwstr>
  </property>
  <property fmtid="{D5CDD505-2E9C-101B-9397-08002B2CF9AE}" pid="9" name="_IPGFLOW_P-8DD5_E-0_CV-8F5BA430_CN-864D1B4C">
    <vt:lpwstr>DPFPMK|3|50|5|0</vt:lpwstr>
  </property>
  <property fmtid="{D5CDD505-2E9C-101B-9397-08002B2CF9AE}" pid="10" name="_IPGFLOW_P-8DD5_E-1_FP-5_CV-4F7F24B7_CN-5D1FE722">
    <vt:lpwstr>iawpQm2XQJ0ndhubhf78NgzM6+QiQR0TabzEGnR7DW0oDZs11zUQPm8MHYI510pGI+pjHneJmRKLQJvmPZBn6/4dztmT+dZf7Ch8lBDgnSE=</vt:lpwstr>
  </property>
  <property fmtid="{D5CDD505-2E9C-101B-9397-08002B2CF9AE}" pid="11" name="KSOTemplateDocerSaveRecord">
    <vt:lpwstr>eyJoZGlkIjoiODhjYzVlNWM1MmM3MDdjZGVhNTBiNzI2MjYwYTQ3MDUiLCJ1c2VySWQiOiIzMDIwMTM0MjgifQ==</vt:lpwstr>
  </property>
</Properties>
</file>