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660"/>
        </w:tabs>
        <w:spacing w:line="360" w:lineRule="auto"/>
        <w:jc w:val="center"/>
        <w:rPr>
          <w:bCs/>
          <w:sz w:val="44"/>
        </w:rPr>
      </w:pPr>
    </w:p>
    <w:p>
      <w:pPr>
        <w:jc w:val="center"/>
        <w:rPr>
          <w:b/>
          <w:sz w:val="52"/>
        </w:rPr>
      </w:pPr>
    </w:p>
    <w:p>
      <w:pPr>
        <w:jc w:val="center"/>
        <w:rPr>
          <w:b/>
          <w:sz w:val="52"/>
        </w:rPr>
      </w:pPr>
    </w:p>
    <w:p>
      <w:pPr>
        <w:jc w:val="center"/>
        <w:rPr>
          <w:b/>
          <w:sz w:val="52"/>
        </w:rPr>
      </w:pPr>
      <w:r>
        <w:rPr>
          <w:b/>
          <w:sz w:val="52"/>
        </w:rPr>
        <w:t>汇添富基金管理股份有限公司</w:t>
      </w:r>
    </w:p>
    <w:p>
      <w:pPr>
        <w:jc w:val="center"/>
        <w:rPr>
          <w:b/>
          <w:sz w:val="52"/>
        </w:rPr>
      </w:pPr>
    </w:p>
    <w:p>
      <w:pPr>
        <w:rPr>
          <w:b/>
        </w:rPr>
      </w:pPr>
    </w:p>
    <w:p>
      <w:pPr>
        <w:jc w:val="center"/>
        <w:rPr>
          <w:b/>
          <w:sz w:val="52"/>
        </w:rPr>
      </w:pPr>
    </w:p>
    <w:p>
      <w:pPr>
        <w:jc w:val="center"/>
        <w:rPr>
          <w:rFonts w:ascii="宋体" w:hAnsi="宋体"/>
          <w:b/>
          <w:sz w:val="48"/>
        </w:rPr>
      </w:pPr>
      <w:bookmarkStart w:id="0" w:name="_Toc139991725"/>
      <w:bookmarkStart w:id="1" w:name="_Toc123112262"/>
      <w:bookmarkStart w:id="2" w:name="_Toc123112223"/>
      <w:bookmarkStart w:id="3" w:name="_Toc139992300"/>
      <w:bookmarkStart w:id="4" w:name="_Toc123701382"/>
      <w:r>
        <w:rPr>
          <w:rFonts w:ascii="宋体" w:hAnsi="宋体"/>
          <w:b/>
          <w:sz w:val="48"/>
        </w:rPr>
        <w:t>汇添富中证家电龙头交易型开放式指数证券投资基金</w:t>
      </w:r>
    </w:p>
    <w:p>
      <w:pPr>
        <w:jc w:val="center"/>
        <w:rPr>
          <w:b/>
          <w:sz w:val="48"/>
        </w:rPr>
      </w:pPr>
      <w:r>
        <w:rPr>
          <w:rFonts w:hint="eastAsia" w:ascii="宋体" w:hAnsi="宋体"/>
          <w:b/>
          <w:sz w:val="48"/>
        </w:rPr>
        <w:t>基金合同</w:t>
      </w:r>
      <w:bookmarkEnd w:id="0"/>
      <w:bookmarkEnd w:id="1"/>
      <w:bookmarkEnd w:id="2"/>
      <w:bookmarkEnd w:id="3"/>
      <w:bookmarkEnd w:id="4"/>
    </w:p>
    <w:p>
      <w:pPr>
        <w:jc w:val="center"/>
        <w:rPr>
          <w:b/>
          <w:sz w:val="52"/>
        </w:rPr>
      </w:pPr>
    </w:p>
    <w:p>
      <w:pPr>
        <w:jc w:val="center"/>
        <w:rPr>
          <w:b/>
          <w:sz w:val="52"/>
        </w:rPr>
      </w:pPr>
    </w:p>
    <w:p>
      <w:pPr>
        <w:jc w:val="center"/>
        <w:rPr>
          <w:b/>
          <w:sz w:val="52"/>
        </w:rPr>
      </w:pPr>
    </w:p>
    <w:p>
      <w:pPr>
        <w:jc w:val="center"/>
        <w:rPr>
          <w:b/>
          <w:sz w:val="32"/>
        </w:rPr>
      </w:pPr>
      <w:bookmarkStart w:id="5" w:name="_Toc123112263"/>
      <w:bookmarkStart w:id="6" w:name="_Toc139992301"/>
      <w:bookmarkStart w:id="7" w:name="_Toc123112224"/>
      <w:bookmarkStart w:id="8" w:name="_Toc139991726"/>
      <w:bookmarkStart w:id="9" w:name="_Toc123701383"/>
      <w:r>
        <w:rPr>
          <w:rFonts w:hint="eastAsia"/>
          <w:b/>
          <w:sz w:val="32"/>
        </w:rPr>
        <w:t>基金管理人：</w:t>
      </w:r>
      <w:bookmarkEnd w:id="5"/>
      <w:bookmarkEnd w:id="6"/>
      <w:bookmarkEnd w:id="7"/>
      <w:bookmarkEnd w:id="8"/>
      <w:bookmarkEnd w:id="9"/>
      <w:r>
        <w:rPr>
          <w:b/>
          <w:sz w:val="32"/>
        </w:rPr>
        <w:t>汇添富基金管理股份有限公司</w:t>
      </w:r>
    </w:p>
    <w:p>
      <w:pPr>
        <w:jc w:val="center"/>
        <w:rPr>
          <w:b/>
          <w:sz w:val="32"/>
        </w:rPr>
      </w:pPr>
      <w:bookmarkStart w:id="10" w:name="_Toc123701384"/>
      <w:bookmarkStart w:id="11" w:name="_Toc123112264"/>
      <w:bookmarkStart w:id="12" w:name="_Toc139991727"/>
      <w:bookmarkStart w:id="13" w:name="_Toc123112225"/>
      <w:bookmarkStart w:id="14" w:name="_Toc139992302"/>
      <w:r>
        <w:rPr>
          <w:rFonts w:hint="eastAsia"/>
          <w:b/>
          <w:sz w:val="32"/>
        </w:rPr>
        <w:t>基金托管人：</w:t>
      </w:r>
      <w:bookmarkEnd w:id="10"/>
      <w:bookmarkEnd w:id="11"/>
      <w:bookmarkEnd w:id="12"/>
      <w:bookmarkEnd w:id="13"/>
      <w:bookmarkEnd w:id="14"/>
      <w:r>
        <w:rPr>
          <w:b/>
          <w:sz w:val="32"/>
        </w:rPr>
        <w:t>国金证券股份有限公司</w:t>
      </w:r>
    </w:p>
    <w:p>
      <w:pPr>
        <w:jc w:val="center"/>
        <w:rPr>
          <w:b/>
          <w:sz w:val="30"/>
        </w:rPr>
      </w:pPr>
      <w:bookmarkStart w:id="15" w:name="_Toc123701386"/>
      <w:bookmarkStart w:id="16" w:name="_Toc139991729"/>
      <w:bookmarkStart w:id="17" w:name="_Toc123112266"/>
      <w:bookmarkStart w:id="18" w:name="_Toc123112227"/>
    </w:p>
    <w:p>
      <w:pPr>
        <w:jc w:val="center"/>
        <w:rPr>
          <w:b/>
          <w:sz w:val="30"/>
        </w:rPr>
      </w:pPr>
    </w:p>
    <w:p>
      <w:pPr>
        <w:jc w:val="center"/>
        <w:rPr>
          <w:b/>
          <w:bCs/>
          <w:sz w:val="30"/>
        </w:rPr>
      </w:pPr>
    </w:p>
    <w:p>
      <w:pPr>
        <w:jc w:val="center"/>
        <w:rPr>
          <w:rFonts w:ascii="宋体"/>
          <w:b/>
          <w:bCs/>
          <w:sz w:val="30"/>
        </w:rPr>
      </w:pPr>
    </w:p>
    <w:bookmarkEnd w:id="15"/>
    <w:bookmarkEnd w:id="16"/>
    <w:bookmarkEnd w:id="17"/>
    <w:bookmarkEnd w:id="18"/>
    <w:p>
      <w:pPr>
        <w:jc w:val="center"/>
        <w:rPr>
          <w:rFonts w:ascii="宋体"/>
          <w:b/>
          <w:bCs/>
          <w:sz w:val="30"/>
        </w:rPr>
        <w:sectPr>
          <w:footerReference r:id="rId3" w:type="default"/>
          <w:pgSz w:w="11906" w:h="16838"/>
          <w:pgMar w:top="1440" w:right="1800" w:bottom="1440" w:left="1800" w:header="851" w:footer="992" w:gutter="0"/>
          <w:cols w:space="720" w:num="1"/>
          <w:docGrid w:type="lines" w:linePitch="312" w:charSpace="0"/>
        </w:sectPr>
      </w:pPr>
      <w:bookmarkStart w:id="19" w:name="_Toc123112268"/>
      <w:bookmarkStart w:id="20" w:name="_Toc139991730"/>
      <w:bookmarkStart w:id="21" w:name="_Toc4966"/>
      <w:bookmarkStart w:id="22" w:name="_Toc141703880"/>
      <w:bookmarkStart w:id="23" w:name="_Toc15517"/>
      <w:bookmarkStart w:id="24" w:name="_Toc23386"/>
      <w:bookmarkStart w:id="25" w:name="_Toc26897"/>
      <w:bookmarkStart w:id="26" w:name="_Toc233456271"/>
      <w:bookmarkStart w:id="27" w:name="_Toc123701389"/>
      <w:bookmarkStart w:id="28" w:name="_Toc6306"/>
      <w:bookmarkStart w:id="29" w:name="_Toc32639"/>
      <w:bookmarkStart w:id="30" w:name="_Toc4867"/>
      <w:bookmarkStart w:id="31" w:name="_Toc29629"/>
      <w:bookmarkStart w:id="32" w:name="_Toc123112229"/>
      <w:bookmarkStart w:id="33" w:name="_Toc8727"/>
      <w:bookmarkStart w:id="34" w:name="_Toc30935"/>
    </w:p>
    <w:p>
      <w:pPr>
        <w:autoSpaceDE w:val="0"/>
        <w:autoSpaceDN w:val="0"/>
        <w:adjustRightInd w:val="0"/>
        <w:spacing w:line="360" w:lineRule="auto"/>
        <w:ind w:firstLine="482" w:firstLineChars="200"/>
        <w:jc w:val="center"/>
        <w:rPr>
          <w:rFonts w:ascii="宋体" w:hAnsi="宋体" w:cs="宋体"/>
          <w:b/>
          <w:sz w:val="24"/>
        </w:rPr>
      </w:pPr>
      <w:r>
        <w:rPr>
          <w:rStyle w:val="32"/>
          <w:rFonts w:ascii="宋体" w:hAnsi="宋体" w:cs="宋体"/>
          <w:b/>
          <w:sz w:val="24"/>
        </w:rPr>
        <w:t>目</w:t>
      </w:r>
      <w:r>
        <w:rPr>
          <w:rStyle w:val="32"/>
          <w:rFonts w:hint="eastAsia" w:ascii="宋体" w:hAnsi="宋体" w:cs="宋体"/>
          <w:b/>
          <w:sz w:val="24"/>
        </w:rPr>
        <w:t xml:space="preserve">  </w:t>
      </w:r>
      <w:r>
        <w:rPr>
          <w:rStyle w:val="32"/>
          <w:rFonts w:ascii="宋体" w:hAnsi="宋体" w:cs="宋体"/>
          <w:b/>
          <w:sz w:val="24"/>
        </w:rPr>
        <w:t>录</w:t>
      </w:r>
    </w:p>
    <w:p>
      <w:pPr>
        <w:pStyle w:val="15"/>
        <w:spacing w:line="360" w:lineRule="auto"/>
        <w:rPr>
          <w:rFonts w:asciiTheme="minorHAnsi" w:hAnsiTheme="minorHAnsi"/>
          <w:sz w:val="24"/>
          <w:szCs w:val="24"/>
        </w:rPr>
      </w:pPr>
      <w:r>
        <w:rPr>
          <w:rStyle w:val="32"/>
          <w:rFonts w:ascii="宋体" w:hAnsi="宋体" w:cs="宋体"/>
          <w:b/>
          <w:sz w:val="24"/>
          <w:szCs w:val="24"/>
        </w:rPr>
        <w:fldChar w:fldCharType="begin"/>
      </w:r>
      <w:r>
        <w:rPr>
          <w:rStyle w:val="32"/>
          <w:rFonts w:ascii="宋体" w:hAnsi="宋体" w:cs="宋体"/>
          <w:b/>
          <w:sz w:val="24"/>
          <w:szCs w:val="24"/>
        </w:rPr>
        <w:instrText xml:space="preserve">TOC \o "1-1" \h \z \u</w:instrText>
      </w:r>
      <w:r>
        <w:rPr>
          <w:rStyle w:val="32"/>
          <w:rFonts w:ascii="宋体" w:hAnsi="宋体" w:cs="宋体"/>
          <w:b/>
          <w:sz w:val="24"/>
          <w:szCs w:val="24"/>
        </w:rPr>
        <w:fldChar w:fldCharType="separate"/>
      </w:r>
      <w:r>
        <w:fldChar w:fldCharType="begin"/>
      </w:r>
      <w:r>
        <w:instrText xml:space="preserve"> HYPERLINK \l "_Toc256000000" </w:instrText>
      </w:r>
      <w:r>
        <w:fldChar w:fldCharType="separate"/>
      </w:r>
      <w:r>
        <w:rPr>
          <w:rStyle w:val="25"/>
          <w:sz w:val="24"/>
          <w:szCs w:val="24"/>
        </w:rPr>
        <w:t>第一部分  前言</w:t>
      </w:r>
      <w:r>
        <w:rPr>
          <w:sz w:val="24"/>
          <w:szCs w:val="24"/>
        </w:rPr>
        <w:tab/>
      </w:r>
      <w:r>
        <w:rPr>
          <w:sz w:val="24"/>
          <w:szCs w:val="24"/>
        </w:rPr>
        <w:fldChar w:fldCharType="begin"/>
      </w:r>
      <w:r>
        <w:rPr>
          <w:sz w:val="24"/>
          <w:szCs w:val="24"/>
        </w:rPr>
        <w:instrText xml:space="preserve"> PAGEREF _Toc256000000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"_Toc256000001" </w:instrText>
      </w:r>
      <w:r>
        <w:fldChar w:fldCharType="separate"/>
      </w:r>
      <w:r>
        <w:rPr>
          <w:rStyle w:val="25"/>
          <w:sz w:val="24"/>
          <w:szCs w:val="24"/>
        </w:rPr>
        <w:t>第二部分  释义</w:t>
      </w:r>
      <w:r>
        <w:rPr>
          <w:sz w:val="24"/>
          <w:szCs w:val="24"/>
        </w:rPr>
        <w:tab/>
      </w:r>
      <w:r>
        <w:rPr>
          <w:sz w:val="24"/>
          <w:szCs w:val="24"/>
        </w:rPr>
        <w:fldChar w:fldCharType="begin"/>
      </w:r>
      <w:r>
        <w:rPr>
          <w:sz w:val="24"/>
          <w:szCs w:val="24"/>
        </w:rPr>
        <w:instrText xml:space="preserve"> PAGEREF _Toc256000001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"_Toc256000002" </w:instrText>
      </w:r>
      <w:r>
        <w:fldChar w:fldCharType="separate"/>
      </w:r>
      <w:r>
        <w:rPr>
          <w:rStyle w:val="25"/>
          <w:sz w:val="24"/>
          <w:szCs w:val="24"/>
        </w:rPr>
        <w:t>第三部分  基金的基本情况</w:t>
      </w:r>
      <w:r>
        <w:rPr>
          <w:sz w:val="24"/>
          <w:szCs w:val="24"/>
        </w:rPr>
        <w:tab/>
      </w:r>
      <w:r>
        <w:rPr>
          <w:sz w:val="24"/>
          <w:szCs w:val="24"/>
        </w:rPr>
        <w:fldChar w:fldCharType="begin"/>
      </w:r>
      <w:r>
        <w:rPr>
          <w:sz w:val="24"/>
          <w:szCs w:val="24"/>
        </w:rPr>
        <w:instrText xml:space="preserve"> PAGEREF _Toc256000002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"_Toc256000003" </w:instrText>
      </w:r>
      <w:r>
        <w:fldChar w:fldCharType="separate"/>
      </w:r>
      <w:r>
        <w:rPr>
          <w:rStyle w:val="25"/>
          <w:sz w:val="24"/>
          <w:szCs w:val="24"/>
        </w:rPr>
        <w:t>第四部分  基金份额的发售</w:t>
      </w:r>
      <w:r>
        <w:rPr>
          <w:sz w:val="24"/>
          <w:szCs w:val="24"/>
        </w:rPr>
        <w:tab/>
      </w:r>
      <w:r>
        <w:rPr>
          <w:sz w:val="24"/>
          <w:szCs w:val="24"/>
        </w:rPr>
        <w:fldChar w:fldCharType="begin"/>
      </w:r>
      <w:r>
        <w:rPr>
          <w:sz w:val="24"/>
          <w:szCs w:val="24"/>
        </w:rPr>
        <w:instrText xml:space="preserve"> PAGEREF _Toc256000003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"_Toc256000004" </w:instrText>
      </w:r>
      <w:r>
        <w:fldChar w:fldCharType="separate"/>
      </w:r>
      <w:r>
        <w:rPr>
          <w:rStyle w:val="25"/>
          <w:sz w:val="24"/>
          <w:szCs w:val="24"/>
        </w:rPr>
        <w:t>第五部分  基金备案</w:t>
      </w:r>
      <w:r>
        <w:rPr>
          <w:sz w:val="24"/>
          <w:szCs w:val="24"/>
        </w:rPr>
        <w:tab/>
      </w:r>
      <w:r>
        <w:rPr>
          <w:sz w:val="24"/>
          <w:szCs w:val="24"/>
        </w:rPr>
        <w:fldChar w:fldCharType="begin"/>
      </w:r>
      <w:r>
        <w:rPr>
          <w:sz w:val="24"/>
          <w:szCs w:val="24"/>
        </w:rPr>
        <w:instrText xml:space="preserve"> PAGEREF _Toc256000004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"_Toc256000005" </w:instrText>
      </w:r>
      <w:r>
        <w:fldChar w:fldCharType="separate"/>
      </w:r>
      <w:r>
        <w:rPr>
          <w:rStyle w:val="25"/>
          <w:sz w:val="24"/>
          <w:szCs w:val="24"/>
        </w:rPr>
        <w:t>第六部分  基金份额折算与变更登记</w:t>
      </w:r>
      <w:r>
        <w:rPr>
          <w:sz w:val="24"/>
          <w:szCs w:val="24"/>
        </w:rPr>
        <w:tab/>
      </w:r>
      <w:r>
        <w:rPr>
          <w:sz w:val="24"/>
          <w:szCs w:val="24"/>
        </w:rPr>
        <w:fldChar w:fldCharType="begin"/>
      </w:r>
      <w:r>
        <w:rPr>
          <w:sz w:val="24"/>
          <w:szCs w:val="24"/>
        </w:rPr>
        <w:instrText xml:space="preserve"> PAGEREF _Toc256000005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"_Toc256000006" </w:instrText>
      </w:r>
      <w:r>
        <w:fldChar w:fldCharType="separate"/>
      </w:r>
      <w:r>
        <w:rPr>
          <w:rStyle w:val="25"/>
          <w:sz w:val="24"/>
          <w:szCs w:val="24"/>
        </w:rPr>
        <w:t>第七部分  基金份额的上市交易</w:t>
      </w:r>
      <w:r>
        <w:rPr>
          <w:sz w:val="24"/>
          <w:szCs w:val="24"/>
        </w:rPr>
        <w:tab/>
      </w:r>
      <w:r>
        <w:rPr>
          <w:sz w:val="24"/>
          <w:szCs w:val="24"/>
        </w:rPr>
        <w:fldChar w:fldCharType="begin"/>
      </w:r>
      <w:r>
        <w:rPr>
          <w:sz w:val="24"/>
          <w:szCs w:val="24"/>
        </w:rPr>
        <w:instrText xml:space="preserve"> PAGEREF _Toc256000006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"_Toc256000007" </w:instrText>
      </w:r>
      <w:r>
        <w:fldChar w:fldCharType="separate"/>
      </w:r>
      <w:r>
        <w:rPr>
          <w:rStyle w:val="25"/>
          <w:sz w:val="24"/>
          <w:szCs w:val="24"/>
        </w:rPr>
        <w:t>第八部分  基金份额的申购与赎回</w:t>
      </w:r>
      <w:r>
        <w:rPr>
          <w:sz w:val="24"/>
          <w:szCs w:val="24"/>
        </w:rPr>
        <w:tab/>
      </w:r>
      <w:r>
        <w:rPr>
          <w:sz w:val="24"/>
          <w:szCs w:val="24"/>
        </w:rPr>
        <w:fldChar w:fldCharType="begin"/>
      </w:r>
      <w:r>
        <w:rPr>
          <w:sz w:val="24"/>
          <w:szCs w:val="24"/>
        </w:rPr>
        <w:instrText xml:space="preserve"> PAGEREF _Toc256000007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"_Toc256000008" </w:instrText>
      </w:r>
      <w:r>
        <w:fldChar w:fldCharType="separate"/>
      </w:r>
      <w:r>
        <w:rPr>
          <w:rStyle w:val="25"/>
          <w:sz w:val="24"/>
          <w:szCs w:val="24"/>
        </w:rPr>
        <w:t>第九部分  基金合同当事人及权利义务</w:t>
      </w:r>
      <w:r>
        <w:rPr>
          <w:sz w:val="24"/>
          <w:szCs w:val="24"/>
        </w:rPr>
        <w:tab/>
      </w:r>
      <w:r>
        <w:rPr>
          <w:sz w:val="24"/>
          <w:szCs w:val="24"/>
        </w:rPr>
        <w:fldChar w:fldCharType="begin"/>
      </w:r>
      <w:r>
        <w:rPr>
          <w:sz w:val="24"/>
          <w:szCs w:val="24"/>
        </w:rPr>
        <w:instrText xml:space="preserve"> PAGEREF _Toc256000008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"_Toc256000009" </w:instrText>
      </w:r>
      <w:r>
        <w:fldChar w:fldCharType="separate"/>
      </w:r>
      <w:r>
        <w:rPr>
          <w:rStyle w:val="25"/>
          <w:sz w:val="24"/>
          <w:szCs w:val="24"/>
        </w:rPr>
        <w:t>第十部分  基金份额持有人大会</w:t>
      </w:r>
      <w:r>
        <w:rPr>
          <w:sz w:val="24"/>
          <w:szCs w:val="24"/>
        </w:rPr>
        <w:tab/>
      </w:r>
      <w:r>
        <w:rPr>
          <w:sz w:val="24"/>
          <w:szCs w:val="24"/>
        </w:rPr>
        <w:fldChar w:fldCharType="begin"/>
      </w:r>
      <w:r>
        <w:rPr>
          <w:sz w:val="24"/>
          <w:szCs w:val="24"/>
        </w:rPr>
        <w:instrText xml:space="preserve"> PAGEREF _Toc256000009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"_Toc256000010" </w:instrText>
      </w:r>
      <w:r>
        <w:fldChar w:fldCharType="separate"/>
      </w:r>
      <w:r>
        <w:rPr>
          <w:rStyle w:val="25"/>
          <w:sz w:val="24"/>
          <w:szCs w:val="24"/>
        </w:rPr>
        <w:t>第十一部分  基金管理人、基金托管人的更换条件和程序</w:t>
      </w:r>
      <w:r>
        <w:rPr>
          <w:sz w:val="24"/>
          <w:szCs w:val="24"/>
        </w:rPr>
        <w:tab/>
      </w:r>
      <w:r>
        <w:rPr>
          <w:sz w:val="24"/>
          <w:szCs w:val="24"/>
        </w:rPr>
        <w:fldChar w:fldCharType="begin"/>
      </w:r>
      <w:r>
        <w:rPr>
          <w:sz w:val="24"/>
          <w:szCs w:val="24"/>
        </w:rPr>
        <w:instrText xml:space="preserve"> PAGEREF _Toc256000010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"_Toc256000011" </w:instrText>
      </w:r>
      <w:r>
        <w:fldChar w:fldCharType="separate"/>
      </w:r>
      <w:r>
        <w:rPr>
          <w:rStyle w:val="25"/>
          <w:sz w:val="24"/>
          <w:szCs w:val="24"/>
        </w:rPr>
        <w:t>第十二部分  基金的托管</w:t>
      </w:r>
      <w:r>
        <w:rPr>
          <w:sz w:val="24"/>
          <w:szCs w:val="24"/>
        </w:rPr>
        <w:tab/>
      </w:r>
      <w:r>
        <w:rPr>
          <w:sz w:val="24"/>
          <w:szCs w:val="24"/>
        </w:rPr>
        <w:fldChar w:fldCharType="begin"/>
      </w:r>
      <w:r>
        <w:rPr>
          <w:sz w:val="24"/>
          <w:szCs w:val="24"/>
        </w:rPr>
        <w:instrText xml:space="preserve"> PAGEREF _Toc256000011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"_Toc256000012" </w:instrText>
      </w:r>
      <w:r>
        <w:fldChar w:fldCharType="separate"/>
      </w:r>
      <w:r>
        <w:rPr>
          <w:rStyle w:val="25"/>
          <w:sz w:val="24"/>
          <w:szCs w:val="24"/>
        </w:rPr>
        <w:t>第十三部分  基金份额的登记</w:t>
      </w:r>
      <w:r>
        <w:rPr>
          <w:sz w:val="24"/>
          <w:szCs w:val="24"/>
        </w:rPr>
        <w:tab/>
      </w:r>
      <w:r>
        <w:rPr>
          <w:sz w:val="24"/>
          <w:szCs w:val="24"/>
        </w:rPr>
        <w:fldChar w:fldCharType="begin"/>
      </w:r>
      <w:r>
        <w:rPr>
          <w:sz w:val="24"/>
          <w:szCs w:val="24"/>
        </w:rPr>
        <w:instrText xml:space="preserve"> PAGEREF _Toc256000012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"_Toc256000013" </w:instrText>
      </w:r>
      <w:r>
        <w:fldChar w:fldCharType="separate"/>
      </w:r>
      <w:r>
        <w:rPr>
          <w:rStyle w:val="25"/>
          <w:sz w:val="24"/>
          <w:szCs w:val="24"/>
        </w:rPr>
        <w:t>第十四部分  基金的投资</w:t>
      </w:r>
      <w:r>
        <w:rPr>
          <w:sz w:val="24"/>
          <w:szCs w:val="24"/>
        </w:rPr>
        <w:tab/>
      </w:r>
      <w:r>
        <w:rPr>
          <w:sz w:val="24"/>
          <w:szCs w:val="24"/>
        </w:rPr>
        <w:fldChar w:fldCharType="begin"/>
      </w:r>
      <w:r>
        <w:rPr>
          <w:sz w:val="24"/>
          <w:szCs w:val="24"/>
        </w:rPr>
        <w:instrText xml:space="preserve"> PAGEREF _Toc256000013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"_Toc256000014" </w:instrText>
      </w:r>
      <w:r>
        <w:fldChar w:fldCharType="separate"/>
      </w:r>
      <w:r>
        <w:rPr>
          <w:rStyle w:val="25"/>
          <w:sz w:val="24"/>
          <w:szCs w:val="24"/>
        </w:rPr>
        <w:t>第十五部分  基金的财产</w:t>
      </w:r>
      <w:r>
        <w:rPr>
          <w:sz w:val="24"/>
          <w:szCs w:val="24"/>
        </w:rPr>
        <w:tab/>
      </w:r>
      <w:r>
        <w:rPr>
          <w:sz w:val="24"/>
          <w:szCs w:val="24"/>
        </w:rPr>
        <w:fldChar w:fldCharType="begin"/>
      </w:r>
      <w:r>
        <w:rPr>
          <w:sz w:val="24"/>
          <w:szCs w:val="24"/>
        </w:rPr>
        <w:instrText xml:space="preserve"> PAGEREF _Toc256000014 \h </w:instrText>
      </w:r>
      <w:r>
        <w:rPr>
          <w:sz w:val="24"/>
          <w:szCs w:val="24"/>
        </w:rPr>
        <w:fldChar w:fldCharType="separate"/>
      </w:r>
      <w:r>
        <w:rPr>
          <w:sz w:val="24"/>
          <w:szCs w:val="24"/>
        </w:rPr>
        <w:t>55</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"_Toc256000015" </w:instrText>
      </w:r>
      <w:r>
        <w:fldChar w:fldCharType="separate"/>
      </w:r>
      <w:r>
        <w:rPr>
          <w:rStyle w:val="25"/>
          <w:sz w:val="24"/>
          <w:szCs w:val="24"/>
        </w:rPr>
        <w:t>第十六部分  基金资产估值</w:t>
      </w:r>
      <w:r>
        <w:rPr>
          <w:sz w:val="24"/>
          <w:szCs w:val="24"/>
        </w:rPr>
        <w:tab/>
      </w:r>
      <w:r>
        <w:rPr>
          <w:sz w:val="24"/>
          <w:szCs w:val="24"/>
        </w:rPr>
        <w:fldChar w:fldCharType="begin"/>
      </w:r>
      <w:r>
        <w:rPr>
          <w:sz w:val="24"/>
          <w:szCs w:val="24"/>
        </w:rPr>
        <w:instrText xml:space="preserve"> PAGEREF _Toc256000015 \h </w:instrText>
      </w:r>
      <w:r>
        <w:rPr>
          <w:sz w:val="24"/>
          <w:szCs w:val="24"/>
        </w:rPr>
        <w:fldChar w:fldCharType="separate"/>
      </w:r>
      <w:r>
        <w:rPr>
          <w:sz w:val="24"/>
          <w:szCs w:val="24"/>
        </w:rPr>
        <w:t>56</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"_Toc256000016" </w:instrText>
      </w:r>
      <w:r>
        <w:fldChar w:fldCharType="separate"/>
      </w:r>
      <w:r>
        <w:rPr>
          <w:rStyle w:val="25"/>
          <w:sz w:val="24"/>
          <w:szCs w:val="24"/>
        </w:rPr>
        <w:t>第十七部分  基金费用与税收</w:t>
      </w:r>
      <w:bookmarkStart w:id="66" w:name="_GoBack"/>
      <w:bookmarkEnd w:id="66"/>
      <w:r>
        <w:rPr>
          <w:sz w:val="24"/>
          <w:szCs w:val="24"/>
        </w:rPr>
        <w:tab/>
      </w:r>
      <w:r>
        <w:rPr>
          <w:sz w:val="24"/>
          <w:szCs w:val="24"/>
        </w:rPr>
        <w:fldChar w:fldCharType="begin"/>
      </w:r>
      <w:r>
        <w:rPr>
          <w:sz w:val="24"/>
          <w:szCs w:val="24"/>
        </w:rPr>
        <w:instrText xml:space="preserve"> PAGEREF _Toc256000016 \h </w:instrText>
      </w:r>
      <w:r>
        <w:rPr>
          <w:sz w:val="24"/>
          <w:szCs w:val="24"/>
        </w:rPr>
        <w:fldChar w:fldCharType="separate"/>
      </w:r>
      <w:r>
        <w:rPr>
          <w:sz w:val="24"/>
          <w:szCs w:val="24"/>
        </w:rPr>
        <w:t>62</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"_Toc256000017" </w:instrText>
      </w:r>
      <w:r>
        <w:fldChar w:fldCharType="separate"/>
      </w:r>
      <w:r>
        <w:rPr>
          <w:rStyle w:val="25"/>
          <w:sz w:val="24"/>
          <w:szCs w:val="24"/>
        </w:rPr>
        <w:t>第十八部分  基金的收益与分配</w:t>
      </w:r>
      <w:r>
        <w:rPr>
          <w:sz w:val="24"/>
          <w:szCs w:val="24"/>
        </w:rPr>
        <w:tab/>
      </w:r>
      <w:r>
        <w:rPr>
          <w:sz w:val="24"/>
          <w:szCs w:val="24"/>
        </w:rPr>
        <w:fldChar w:fldCharType="begin"/>
      </w:r>
      <w:r>
        <w:rPr>
          <w:sz w:val="24"/>
          <w:szCs w:val="24"/>
        </w:rPr>
        <w:instrText xml:space="preserve"> PAGEREF _Toc256000017 \h </w:instrText>
      </w:r>
      <w:r>
        <w:rPr>
          <w:sz w:val="24"/>
          <w:szCs w:val="24"/>
        </w:rPr>
        <w:fldChar w:fldCharType="separate"/>
      </w:r>
      <w:r>
        <w:rPr>
          <w:sz w:val="24"/>
          <w:szCs w:val="24"/>
        </w:rPr>
        <w:t>64</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"_Toc256000018" </w:instrText>
      </w:r>
      <w:r>
        <w:fldChar w:fldCharType="separate"/>
      </w:r>
      <w:r>
        <w:rPr>
          <w:rStyle w:val="25"/>
          <w:sz w:val="24"/>
          <w:szCs w:val="24"/>
        </w:rPr>
        <w:t>第十九部分  基金的会计与审计</w:t>
      </w:r>
      <w:r>
        <w:rPr>
          <w:sz w:val="24"/>
          <w:szCs w:val="24"/>
        </w:rPr>
        <w:tab/>
      </w:r>
      <w:r>
        <w:rPr>
          <w:sz w:val="24"/>
          <w:szCs w:val="24"/>
        </w:rPr>
        <w:fldChar w:fldCharType="begin"/>
      </w:r>
      <w:r>
        <w:rPr>
          <w:sz w:val="24"/>
          <w:szCs w:val="24"/>
        </w:rPr>
        <w:instrText xml:space="preserve"> PAGEREF _Toc256000018 \h </w:instrText>
      </w:r>
      <w:r>
        <w:rPr>
          <w:sz w:val="24"/>
          <w:szCs w:val="24"/>
        </w:rPr>
        <w:fldChar w:fldCharType="separate"/>
      </w:r>
      <w:r>
        <w:rPr>
          <w:sz w:val="24"/>
          <w:szCs w:val="24"/>
        </w:rPr>
        <w:t>66</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"_Toc256000019" </w:instrText>
      </w:r>
      <w:r>
        <w:fldChar w:fldCharType="separate"/>
      </w:r>
      <w:r>
        <w:rPr>
          <w:rStyle w:val="25"/>
          <w:sz w:val="24"/>
          <w:szCs w:val="24"/>
        </w:rPr>
        <w:t>第二十部分  基金的信息披露</w:t>
      </w:r>
      <w:r>
        <w:rPr>
          <w:sz w:val="24"/>
          <w:szCs w:val="24"/>
        </w:rPr>
        <w:tab/>
      </w:r>
      <w:r>
        <w:rPr>
          <w:sz w:val="24"/>
          <w:szCs w:val="24"/>
        </w:rPr>
        <w:fldChar w:fldCharType="begin"/>
      </w:r>
      <w:r>
        <w:rPr>
          <w:sz w:val="24"/>
          <w:szCs w:val="24"/>
        </w:rPr>
        <w:instrText xml:space="preserve"> PAGEREF _Toc256000019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"_Toc256000020" </w:instrText>
      </w:r>
      <w:r>
        <w:fldChar w:fldCharType="separate"/>
      </w:r>
      <w:r>
        <w:rPr>
          <w:rStyle w:val="25"/>
          <w:sz w:val="24"/>
          <w:szCs w:val="24"/>
        </w:rPr>
        <w:t>第二十一部分  基金合同的变更、终止与基金财产的清算</w:t>
      </w:r>
      <w:r>
        <w:rPr>
          <w:sz w:val="24"/>
          <w:szCs w:val="24"/>
        </w:rPr>
        <w:tab/>
      </w:r>
      <w:r>
        <w:rPr>
          <w:sz w:val="24"/>
          <w:szCs w:val="24"/>
        </w:rPr>
        <w:fldChar w:fldCharType="begin"/>
      </w:r>
      <w:r>
        <w:rPr>
          <w:sz w:val="24"/>
          <w:szCs w:val="24"/>
        </w:rPr>
        <w:instrText xml:space="preserve"> PAGEREF _Toc256000020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"_Toc256000021" </w:instrText>
      </w:r>
      <w:r>
        <w:fldChar w:fldCharType="separate"/>
      </w:r>
      <w:r>
        <w:rPr>
          <w:rStyle w:val="25"/>
          <w:sz w:val="24"/>
          <w:szCs w:val="24"/>
        </w:rPr>
        <w:t>第二十二部分  违约责任</w:t>
      </w:r>
      <w:r>
        <w:rPr>
          <w:sz w:val="24"/>
          <w:szCs w:val="24"/>
        </w:rPr>
        <w:tab/>
      </w:r>
      <w:r>
        <w:rPr>
          <w:sz w:val="24"/>
          <w:szCs w:val="24"/>
        </w:rPr>
        <w:fldChar w:fldCharType="begin"/>
      </w:r>
      <w:r>
        <w:rPr>
          <w:sz w:val="24"/>
          <w:szCs w:val="24"/>
        </w:rPr>
        <w:instrText xml:space="preserve"> PAGEREF _Toc256000021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"_Toc256000022" </w:instrText>
      </w:r>
      <w:r>
        <w:fldChar w:fldCharType="separate"/>
      </w:r>
      <w:r>
        <w:rPr>
          <w:rStyle w:val="25"/>
          <w:sz w:val="24"/>
          <w:szCs w:val="24"/>
        </w:rPr>
        <w:t>第二十三部分  争议的处理和适用的法律</w:t>
      </w:r>
      <w:r>
        <w:rPr>
          <w:sz w:val="24"/>
          <w:szCs w:val="24"/>
        </w:rPr>
        <w:tab/>
      </w:r>
      <w:r>
        <w:rPr>
          <w:sz w:val="24"/>
          <w:szCs w:val="24"/>
        </w:rPr>
        <w:fldChar w:fldCharType="begin"/>
      </w:r>
      <w:r>
        <w:rPr>
          <w:sz w:val="24"/>
          <w:szCs w:val="24"/>
        </w:rPr>
        <w:instrText xml:space="preserve"> PAGEREF _Toc256000022 \h </w:instrText>
      </w:r>
      <w:r>
        <w:rPr>
          <w:sz w:val="24"/>
          <w:szCs w:val="24"/>
        </w:rPr>
        <w:fldChar w:fldCharType="separate"/>
      </w:r>
      <w:r>
        <w:rPr>
          <w:sz w:val="24"/>
          <w:szCs w:val="24"/>
        </w:rPr>
        <w:t>78</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"_Toc256000023" </w:instrText>
      </w:r>
      <w:r>
        <w:fldChar w:fldCharType="separate"/>
      </w:r>
      <w:r>
        <w:rPr>
          <w:rStyle w:val="25"/>
          <w:sz w:val="24"/>
          <w:szCs w:val="24"/>
        </w:rPr>
        <w:t>第二十四部分  基金合同的效力</w:t>
      </w:r>
      <w:r>
        <w:rPr>
          <w:sz w:val="24"/>
          <w:szCs w:val="24"/>
        </w:rPr>
        <w:tab/>
      </w:r>
      <w:r>
        <w:rPr>
          <w:sz w:val="24"/>
          <w:szCs w:val="24"/>
        </w:rPr>
        <w:fldChar w:fldCharType="begin"/>
      </w:r>
      <w:r>
        <w:rPr>
          <w:sz w:val="24"/>
          <w:szCs w:val="24"/>
        </w:rPr>
        <w:instrText xml:space="preserve"> PAGEREF _Toc256000023 \h </w:instrText>
      </w:r>
      <w:r>
        <w:rPr>
          <w:sz w:val="24"/>
          <w:szCs w:val="24"/>
        </w:rPr>
        <w:fldChar w:fldCharType="separate"/>
      </w:r>
      <w:r>
        <w:rPr>
          <w:sz w:val="24"/>
          <w:szCs w:val="24"/>
        </w:rPr>
        <w:t>79</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"_Toc256000024" </w:instrText>
      </w:r>
      <w:r>
        <w:fldChar w:fldCharType="separate"/>
      </w:r>
      <w:r>
        <w:rPr>
          <w:rStyle w:val="25"/>
          <w:sz w:val="24"/>
          <w:szCs w:val="24"/>
        </w:rPr>
        <w:t>第二十五部分  其他事项</w:t>
      </w:r>
      <w:r>
        <w:rPr>
          <w:sz w:val="24"/>
          <w:szCs w:val="24"/>
        </w:rPr>
        <w:tab/>
      </w:r>
      <w:r>
        <w:rPr>
          <w:sz w:val="24"/>
          <w:szCs w:val="24"/>
        </w:rPr>
        <w:fldChar w:fldCharType="begin"/>
      </w:r>
      <w:r>
        <w:rPr>
          <w:sz w:val="24"/>
          <w:szCs w:val="24"/>
        </w:rPr>
        <w:instrText xml:space="preserve"> PAGEREF _Toc256000024 \h </w:instrText>
      </w:r>
      <w:r>
        <w:rPr>
          <w:sz w:val="24"/>
          <w:szCs w:val="24"/>
        </w:rPr>
        <w:fldChar w:fldCharType="separate"/>
      </w:r>
      <w:r>
        <w:rPr>
          <w:sz w:val="24"/>
          <w:szCs w:val="24"/>
        </w:rPr>
        <w:t>80</w:t>
      </w:r>
      <w:r>
        <w:rPr>
          <w:sz w:val="24"/>
          <w:szCs w:val="24"/>
        </w:rPr>
        <w:fldChar w:fldCharType="end"/>
      </w:r>
      <w:r>
        <w:rPr>
          <w:sz w:val="24"/>
          <w:szCs w:val="24"/>
        </w:rPr>
        <w:fldChar w:fldCharType="end"/>
      </w:r>
    </w:p>
    <w:p>
      <w:pPr>
        <w:pStyle w:val="15"/>
        <w:spacing w:line="360" w:lineRule="auto"/>
        <w:rPr>
          <w:rFonts w:asciiTheme="minorHAnsi" w:hAnsiTheme="minorHAnsi"/>
          <w:sz w:val="24"/>
          <w:szCs w:val="24"/>
        </w:rPr>
      </w:pPr>
      <w:r>
        <w:fldChar w:fldCharType="begin"/>
      </w:r>
      <w:r>
        <w:instrText xml:space="preserve"> HYPERLINK \l "_Toc256000025" </w:instrText>
      </w:r>
      <w:r>
        <w:fldChar w:fldCharType="separate"/>
      </w:r>
      <w:r>
        <w:rPr>
          <w:rStyle w:val="25"/>
          <w:sz w:val="24"/>
          <w:szCs w:val="24"/>
        </w:rPr>
        <w:t>第二十六部分  基金合同内容摘要</w:t>
      </w:r>
      <w:r>
        <w:rPr>
          <w:sz w:val="24"/>
          <w:szCs w:val="24"/>
        </w:rPr>
        <w:tab/>
      </w:r>
      <w:r>
        <w:rPr>
          <w:sz w:val="24"/>
          <w:szCs w:val="24"/>
        </w:rPr>
        <w:fldChar w:fldCharType="begin"/>
      </w:r>
      <w:r>
        <w:rPr>
          <w:sz w:val="24"/>
          <w:szCs w:val="24"/>
        </w:rPr>
        <w:instrText xml:space="preserve"> PAGEREF _Toc256000025 \h </w:instrText>
      </w:r>
      <w:r>
        <w:rPr>
          <w:sz w:val="24"/>
          <w:szCs w:val="24"/>
        </w:rPr>
        <w:fldChar w:fldCharType="separate"/>
      </w:r>
      <w:r>
        <w:rPr>
          <w:sz w:val="24"/>
          <w:szCs w:val="24"/>
        </w:rPr>
        <w:t>81</w:t>
      </w:r>
      <w:r>
        <w:rPr>
          <w:sz w:val="24"/>
          <w:szCs w:val="24"/>
        </w:rPr>
        <w:fldChar w:fldCharType="end"/>
      </w:r>
      <w:r>
        <w:rPr>
          <w:sz w:val="24"/>
          <w:szCs w:val="24"/>
        </w:rPr>
        <w:fldChar w:fldCharType="end"/>
      </w:r>
    </w:p>
    <w:p>
      <w:pPr>
        <w:spacing w:line="360" w:lineRule="auto"/>
        <w:jc w:val="left"/>
        <w:rPr>
          <w:rStyle w:val="32"/>
          <w:rFonts w:ascii="宋体" w:hAnsi="宋体" w:cs="宋体"/>
          <w:b/>
          <w:sz w:val="24"/>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Style w:val="32"/>
          <w:rFonts w:ascii="宋体" w:hAnsi="宋体" w:cs="宋体"/>
          <w:b/>
          <w:sz w:val="24"/>
          <w:szCs w:val="24"/>
        </w:rPr>
        <w:fldChar w:fldCharType="end"/>
      </w:r>
      <w:bookmarkStart w:id="35" w:name="_Toc452127896"/>
      <w:bookmarkStart w:id="36" w:name="_Toc2163435"/>
      <w:bookmarkStart w:id="37" w:name="_Toc11660"/>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Pr>
        <w:pStyle w:val="2"/>
        <w:spacing w:before="0" w:after="0"/>
        <w:jc w:val="center"/>
        <w:rPr>
          <w:rFonts w:ascii="Times New Roman"/>
          <w:color w:val="auto"/>
          <w:sz w:val="30"/>
        </w:rPr>
      </w:pPr>
      <w:bookmarkStart w:id="38" w:name="_Toc139991731"/>
      <w:bookmarkEnd w:id="38"/>
      <w:bookmarkStart w:id="39" w:name="_Toc256000000"/>
      <w:r>
        <w:rPr>
          <w:rFonts w:ascii="Times New Roman"/>
          <w:color w:val="auto"/>
          <w:sz w:val="30"/>
        </w:rPr>
        <w:t>第一部分  前言</w:t>
      </w:r>
      <w:bookmarkEnd w:id="39"/>
    </w:p>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订立本基金合同的目的、依据和原则</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w:t>
      </w:r>
      <w:r>
        <w:rPr>
          <w:rFonts w:hint="eastAsia" w:ascii="宋体" w:hAnsi="宋体" w:cs="宋体"/>
          <w:kern w:val="0"/>
          <w:sz w:val="24"/>
          <w:szCs w:val="24"/>
        </w:rPr>
        <w:t>（</w:t>
      </w:r>
      <w:r>
        <w:rPr>
          <w:rFonts w:ascii="宋体" w:hAnsi="宋体" w:cs="宋体"/>
          <w:kern w:val="0"/>
          <w:sz w:val="24"/>
          <w:szCs w:val="24"/>
        </w:rPr>
        <w:t>以下简称“《基金法》”</w:t>
      </w:r>
      <w:r>
        <w:rPr>
          <w:rFonts w:hint="eastAsia" w:ascii="宋体" w:hAnsi="宋体" w:cs="宋体"/>
          <w:kern w:val="0"/>
          <w:sz w:val="24"/>
          <w:szCs w:val="24"/>
        </w:rPr>
        <w:t>）</w:t>
      </w:r>
      <w:r>
        <w:rPr>
          <w:rFonts w:ascii="宋体" w:hAnsi="宋体" w:cs="宋体"/>
          <w:kern w:val="0"/>
          <w:sz w:val="24"/>
          <w:szCs w:val="24"/>
        </w:rPr>
        <w:t>、《公开募集证券投资基金运作管理办法》</w:t>
      </w:r>
      <w:r>
        <w:rPr>
          <w:rFonts w:hint="eastAsia" w:ascii="宋体" w:hAnsi="宋体" w:cs="宋体"/>
          <w:kern w:val="0"/>
          <w:sz w:val="24"/>
          <w:szCs w:val="24"/>
        </w:rPr>
        <w:t>（</w:t>
      </w:r>
      <w:r>
        <w:rPr>
          <w:rFonts w:ascii="宋体" w:hAnsi="宋体" w:cs="宋体"/>
          <w:kern w:val="0"/>
          <w:sz w:val="24"/>
          <w:szCs w:val="24"/>
        </w:rPr>
        <w:t>以下简称“《运作办法》”</w:t>
      </w:r>
      <w:r>
        <w:rPr>
          <w:rFonts w:hint="eastAsia" w:ascii="宋体" w:hAnsi="宋体" w:cs="宋体"/>
          <w:kern w:val="0"/>
          <w:sz w:val="24"/>
          <w:szCs w:val="24"/>
        </w:rPr>
        <w:t>）</w:t>
      </w:r>
      <w:r>
        <w:rPr>
          <w:rFonts w:ascii="宋体" w:hAnsi="宋体" w:cs="宋体"/>
          <w:kern w:val="0"/>
          <w:sz w:val="24"/>
          <w:szCs w:val="24"/>
        </w:rPr>
        <w:t>、《公开募集证券投资基金销售机构监督管理办法》</w:t>
      </w:r>
      <w:r>
        <w:rPr>
          <w:rFonts w:hint="eastAsia" w:ascii="宋体" w:hAnsi="宋体" w:cs="宋体"/>
          <w:kern w:val="0"/>
          <w:sz w:val="24"/>
          <w:szCs w:val="24"/>
        </w:rPr>
        <w:t>（</w:t>
      </w:r>
      <w:r>
        <w:rPr>
          <w:rFonts w:ascii="宋体" w:hAnsi="宋体" w:cs="宋体"/>
          <w:kern w:val="0"/>
          <w:sz w:val="24"/>
          <w:szCs w:val="24"/>
        </w:rPr>
        <w:t>以下简称“《销售办法》”</w:t>
      </w:r>
      <w:r>
        <w:rPr>
          <w:rFonts w:hint="eastAsia" w:ascii="宋体" w:hAnsi="宋体" w:cs="宋体"/>
          <w:kern w:val="0"/>
          <w:sz w:val="24"/>
          <w:szCs w:val="24"/>
        </w:rPr>
        <w:t>）</w:t>
      </w:r>
      <w:r>
        <w:rPr>
          <w:rFonts w:ascii="宋体" w:hAnsi="宋体" w:cs="宋体"/>
          <w:kern w:val="0"/>
          <w:sz w:val="24"/>
          <w:szCs w:val="24"/>
        </w:rPr>
        <w:t>、《公开募集证券投资基金信息披露管理办法》</w:t>
      </w:r>
      <w:r>
        <w:rPr>
          <w:rFonts w:hint="eastAsia" w:ascii="宋体" w:hAnsi="宋体" w:cs="宋体"/>
          <w:kern w:val="0"/>
          <w:sz w:val="24"/>
          <w:szCs w:val="24"/>
        </w:rPr>
        <w:t>（</w:t>
      </w:r>
      <w:r>
        <w:rPr>
          <w:rFonts w:ascii="宋体" w:hAnsi="宋体" w:cs="宋体"/>
          <w:kern w:val="0"/>
          <w:sz w:val="24"/>
          <w:szCs w:val="24"/>
        </w:rPr>
        <w:t>以下简称“《信息披露办法》”</w:t>
      </w:r>
      <w:r>
        <w:rPr>
          <w:rFonts w:hint="eastAsia" w:ascii="宋体" w:hAnsi="宋体" w:cs="宋体"/>
          <w:kern w:val="0"/>
          <w:sz w:val="24"/>
          <w:szCs w:val="24"/>
        </w:rPr>
        <w:t>）</w:t>
      </w:r>
      <w:r>
        <w:rPr>
          <w:rFonts w:ascii="宋体" w:hAnsi="宋体" w:cs="宋体"/>
          <w:kern w:val="0"/>
          <w:sz w:val="24"/>
          <w:szCs w:val="24"/>
        </w:rPr>
        <w:t>、《公开募集开放式证券投资基金流动性风险管理规定》</w:t>
      </w:r>
      <w:r>
        <w:rPr>
          <w:rFonts w:hint="eastAsia" w:ascii="宋体" w:hAnsi="宋体" w:cs="宋体"/>
          <w:kern w:val="0"/>
          <w:sz w:val="24"/>
          <w:szCs w:val="24"/>
        </w:rPr>
        <w:t>（</w:t>
      </w:r>
      <w:r>
        <w:rPr>
          <w:rFonts w:ascii="宋体" w:hAnsi="宋体" w:cs="宋体"/>
          <w:kern w:val="0"/>
          <w:sz w:val="24"/>
          <w:szCs w:val="24"/>
        </w:rPr>
        <w:t>以下简称“《流动性风险管理规定》”）、《公开募集证券投资基金运作指引第3号——指数基金指引》（以下简称“《指数基金指引》”）和其他有关法律法规。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pStyle w:val="65"/>
        <w:spacing w:line="360" w:lineRule="auto"/>
        <w:ind w:firstLine="480"/>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三、汇添富中证家电龙头交易型开放式指数证券投资基金</w:t>
      </w:r>
      <w:r>
        <w:rPr>
          <w:rFonts w:ascii="宋体" w:hAnsi="宋体" w:cs="宋体"/>
          <w:kern w:val="0"/>
          <w:sz w:val="24"/>
          <w:szCs w:val="24"/>
        </w:rPr>
        <w:t>由基金管理人依照《基金法》、基金合同及其他有关规定募集，并经中国证券监督管理委员会</w:t>
      </w:r>
      <w:r>
        <w:rPr>
          <w:rFonts w:hint="eastAsia" w:ascii="宋体" w:hAnsi="宋体" w:cs="宋体"/>
          <w:kern w:val="0"/>
          <w:sz w:val="24"/>
          <w:szCs w:val="24"/>
        </w:rPr>
        <w:t>（</w:t>
      </w:r>
      <w:r>
        <w:rPr>
          <w:rFonts w:ascii="宋体" w:hAnsi="宋体" w:cs="宋体"/>
          <w:kern w:val="0"/>
          <w:sz w:val="24"/>
          <w:szCs w:val="24"/>
        </w:rPr>
        <w:t>以下简称“中国证监会”</w:t>
      </w:r>
      <w:r>
        <w:rPr>
          <w:rFonts w:hint="eastAsia" w:ascii="宋体" w:hAnsi="宋体" w:cs="宋体"/>
          <w:kern w:val="0"/>
          <w:sz w:val="24"/>
          <w:szCs w:val="24"/>
        </w:rPr>
        <w:t>）</w:t>
      </w:r>
      <w:r>
        <w:rPr>
          <w:rFonts w:ascii="宋体" w:hAnsi="宋体" w:cs="宋体"/>
          <w:kern w:val="0"/>
          <w:sz w:val="24"/>
          <w:szCs w:val="24"/>
        </w:rPr>
        <w:t>注册。</w:t>
      </w:r>
    </w:p>
    <w:p>
      <w:pPr>
        <w:pStyle w:val="65"/>
        <w:spacing w:line="360" w:lineRule="auto"/>
        <w:ind w:firstLine="480"/>
        <w:rPr>
          <w:rFonts w:eastAsia="Times New Roman"/>
          <w:kern w:val="0"/>
          <w:sz w:val="24"/>
          <w:szCs w:val="24"/>
        </w:rPr>
      </w:pPr>
      <w:r>
        <w:rPr>
          <w:rFonts w:ascii="宋体" w:hAnsi="宋体" w:cs="宋体"/>
          <w:kern w:val="0"/>
          <w:sz w:val="24"/>
          <w:szCs w:val="24"/>
        </w:rPr>
        <w:t>中国证监会对本基金募集的注册，并不表明其对本基金的投资价值和市场前景做出实质性判断或保证，也不表明投资于本基金没有风险。</w:t>
      </w:r>
    </w:p>
    <w:p>
      <w:pPr>
        <w:pStyle w:val="65"/>
        <w:spacing w:line="360" w:lineRule="auto"/>
        <w:ind w:firstLine="48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pPr>
        <w:pStyle w:val="65"/>
        <w:spacing w:line="360" w:lineRule="auto"/>
        <w:ind w:firstLine="480"/>
        <w:rPr>
          <w:rFonts w:eastAsia="Times New Roman"/>
          <w:kern w:val="0"/>
          <w:sz w:val="24"/>
          <w:szCs w:val="24"/>
        </w:rPr>
      </w:pPr>
      <w:r>
        <w:rPr>
          <w:rFonts w:ascii="宋体" w:hAnsi="宋体" w:cs="宋体"/>
          <w:kern w:val="0"/>
          <w:sz w:val="24"/>
          <w:szCs w:val="24"/>
        </w:rPr>
        <w:t>投资者应当认真阅读基金招募说明书、基金合同、基金产品资料概要等信息披露文件，自主判断基金的投资价值，自主做出投资决策，自行承担投资风险。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五、</w:t>
      </w:r>
      <w:r>
        <w:rPr>
          <w:rFonts w:ascii="宋体" w:hAnsi="宋体" w:cs="宋体"/>
          <w:kern w:val="0"/>
          <w:sz w:val="24"/>
          <w:szCs w:val="24"/>
        </w:rPr>
        <w:t>本基金按照中国法律法规成立并运作，若基金合同的内容与届时有效的法律法规的强制性规定不一致，应当以届时有效的法律法规的规定为准。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六、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市风险等其他风险。</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七、本基金为指数基金，投资者投资于本基金面临跟踪误差控制未达约定目标、指数编制机构停止服务、成份股停牌等潜在风险，详见本基金招募说明书。</w:t>
      </w:r>
      <w:r>
        <w:rPr>
          <w:rStyle w:val="66"/>
          <w:rFonts w:ascii="宋体" w:hAnsi="宋体" w:cs="宋体"/>
          <w:kern w:val="0"/>
          <w:sz w:val="24"/>
          <w:szCs w:val="24"/>
        </w:rPr>
        <w:br w:type="page"/>
      </w:r>
    </w:p>
    <w:p>
      <w:pPr>
        <w:pStyle w:val="2"/>
        <w:spacing w:before="0" w:after="0"/>
        <w:jc w:val="center"/>
        <w:rPr>
          <w:rFonts w:ascii="Times New Roman"/>
          <w:color w:val="auto"/>
          <w:sz w:val="30"/>
        </w:rPr>
      </w:pPr>
      <w:bookmarkStart w:id="40" w:name="_Toc256000001"/>
      <w:r>
        <w:rPr>
          <w:rFonts w:ascii="Times New Roman"/>
          <w:color w:val="auto"/>
          <w:sz w:val="30"/>
        </w:rPr>
        <w:t>第二部分  释义</w:t>
      </w:r>
      <w:bookmarkEnd w:id="40"/>
    </w:p>
    <w:p/>
    <w:p>
      <w:pPr>
        <w:pStyle w:val="65"/>
        <w:spacing w:line="360" w:lineRule="auto"/>
        <w:ind w:firstLine="480"/>
        <w:rPr>
          <w:rFonts w:eastAsia="Times New Roman"/>
          <w:kern w:val="0"/>
          <w:sz w:val="24"/>
          <w:szCs w:val="24"/>
        </w:rPr>
      </w:pPr>
      <w:r>
        <w:rPr>
          <w:rFonts w:ascii="宋体" w:hAnsi="宋体" w:cs="宋体"/>
          <w:kern w:val="0"/>
          <w:sz w:val="24"/>
          <w:szCs w:val="24"/>
        </w:rPr>
        <w:t>在本基金合同中，除非文意另有所指，下列词语或简称具有如下含义：</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基金或本基金：指</w:t>
      </w:r>
      <w:r>
        <w:rPr>
          <w:rStyle w:val="66"/>
          <w:rFonts w:ascii="宋体" w:hAnsi="宋体" w:cs="宋体"/>
          <w:kern w:val="0"/>
          <w:sz w:val="24"/>
          <w:szCs w:val="24"/>
        </w:rPr>
        <w:t>汇添富中证家电龙头交易型开放式指数证券投资基金</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基金管理人：指汇添富基金管理股份有限公司</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基金托管人：指</w:t>
      </w:r>
      <w:r>
        <w:rPr>
          <w:rStyle w:val="67"/>
          <w:rFonts w:ascii="宋体" w:hAnsi="宋体" w:cs="宋体"/>
          <w:kern w:val="0"/>
          <w:sz w:val="24"/>
          <w:szCs w:val="24"/>
        </w:rPr>
        <w:t>国金证券股份有限公司</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基金合同或本基金合同：指《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基金合同》及对本基金合同的任何有效修订和补充</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托管协议》及对该托管协议的任何有效修订和补充</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招募说明书：指《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招募说明书》及其更新</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基金产品资料概要：指《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基金产品资料概要》及其更新</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基金份额发售公告：指《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基金份额发售公告》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上市交易公告书：指《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上市交易公告书》</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《运作办法》：指中国证监会2014年7月7日颁布、同年8月8日实施的《公开募集证券投资基金运作管理办法》及颁布机关对其不时做出的修订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15、</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《指数基金指引》：指中国证监会2021年1月18日颁布、同年2月1日实施的《公开募集证券投资基金运作指引第3号——指数基金指引》及颁布机关对其不时做出的修订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17、</w:t>
      </w:r>
      <w:r>
        <w:rPr>
          <w:rFonts w:ascii="宋体" w:hAnsi="宋体" w:cs="宋体"/>
          <w:kern w:val="0"/>
          <w:sz w:val="24"/>
          <w:szCs w:val="24"/>
        </w:rPr>
        <w:t>中国证监会：指中国证券监督管理委员会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18、交易型开放式指数证券投资基金：指《深圳证券交易所证券投资基金交易和申购赎回实施细则》定义的“交易型开放式指数基金”，简称“ETF”</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19、</w:t>
      </w:r>
      <w:r>
        <w:rPr>
          <w:rFonts w:ascii="宋体" w:hAnsi="宋体" w:cs="宋体"/>
          <w:kern w:val="0"/>
          <w:sz w:val="24"/>
          <w:szCs w:val="24"/>
        </w:rPr>
        <w:t>ETF联接基金：指将绝大部分基金财产投资于本基金，与本基金的投资目标类似，采用开放式运作方式的基金</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20、</w:t>
      </w:r>
      <w:r>
        <w:rPr>
          <w:rFonts w:ascii="宋体" w:hAnsi="宋体" w:cs="宋体"/>
          <w:kern w:val="0"/>
          <w:sz w:val="24"/>
          <w:szCs w:val="24"/>
        </w:rPr>
        <w:t>基金合同当事人：指受基金合同约束，根据基金合同享有权利并承担义务的法律主体，包括基金管理人、基金托管人和基金份额持有人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21、</w:t>
      </w:r>
      <w:r>
        <w:rPr>
          <w:rFonts w:ascii="宋体" w:hAnsi="宋体" w:cs="宋体"/>
          <w:kern w:val="0"/>
          <w:sz w:val="24"/>
          <w:szCs w:val="24"/>
        </w:rPr>
        <w:t>个人投资者：指依据有关法律法规规定可投资于证券投资基金的自然人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22、</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23、</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24、</w:t>
      </w:r>
      <w:r>
        <w:rPr>
          <w:rFonts w:ascii="宋体" w:hAnsi="宋体" w:cs="宋体"/>
          <w:kern w:val="0"/>
          <w:sz w:val="24"/>
          <w:szCs w:val="24"/>
        </w:rPr>
        <w:t>投资人、投资者：指个人投资者、机构投资者和合格境外投资者以及法律法规或中国证监会允许购买证券投资基金的其他投资人的合称</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25、</w:t>
      </w:r>
      <w:r>
        <w:rPr>
          <w:rFonts w:ascii="宋体" w:hAnsi="宋体" w:cs="宋体"/>
          <w:kern w:val="0"/>
          <w:sz w:val="24"/>
          <w:szCs w:val="24"/>
        </w:rPr>
        <w:t>基金份额持有人：指依基金合同和招募说明书合法取得基金份额的投资人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26、</w:t>
      </w:r>
      <w:r>
        <w:rPr>
          <w:rFonts w:ascii="宋体" w:hAnsi="宋体" w:cs="宋体"/>
          <w:kern w:val="0"/>
          <w:sz w:val="24"/>
          <w:szCs w:val="24"/>
        </w:rPr>
        <w:t>基金销售业务：指基金管理人或销售机构宣传推介基金，发售基金份额，办理基金份额的申购、赎回等业务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27、</w:t>
      </w:r>
      <w:r>
        <w:rPr>
          <w:rFonts w:ascii="宋体" w:hAnsi="宋体" w:cs="宋体"/>
          <w:kern w:val="0"/>
          <w:sz w:val="24"/>
          <w:szCs w:val="24"/>
        </w:rPr>
        <w:t>销售机构：指汇添富基金管理股份有限公司以及符合《销售办法》和中国证监会规定的其他条件，取得基金销售业务资格并与基金管理人签订了基金销售服务协议，办理基金销售业务的机构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28、</w:t>
      </w:r>
      <w:r>
        <w:rPr>
          <w:rFonts w:ascii="宋体" w:hAnsi="宋体" w:cs="宋体"/>
          <w:kern w:val="0"/>
          <w:sz w:val="24"/>
          <w:szCs w:val="24"/>
        </w:rPr>
        <w:t>发售代理机构：指符合《销售办法》和中国证监会规定的其他条件，由基金管理人指定的、在募集期间代理本基金发售业务的机构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29、</w:t>
      </w:r>
      <w:r>
        <w:rPr>
          <w:rFonts w:ascii="宋体" w:hAnsi="宋体" w:cs="宋体"/>
          <w:kern w:val="0"/>
          <w:sz w:val="24"/>
          <w:szCs w:val="24"/>
        </w:rPr>
        <w:t>申购赎回代理券商：指符合《销售办法》和中国证监会规定的其他条件，由基金管理人指定的办理本基金申购、赎回业务的证券公司，又称为代办证券公司</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30、</w:t>
      </w:r>
      <w:r>
        <w:rPr>
          <w:rFonts w:ascii="宋体" w:hAnsi="宋体" w:cs="宋体"/>
          <w:kern w:val="0"/>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31、</w:t>
      </w:r>
      <w:r>
        <w:rPr>
          <w:rFonts w:ascii="宋体" w:hAnsi="宋体" w:cs="宋体"/>
          <w:kern w:val="0"/>
          <w:sz w:val="24"/>
          <w:szCs w:val="24"/>
        </w:rPr>
        <w:t>登记机构：指办理登记业务的机构。基金的登记机构为汇添富基金管理股份有限公司或接受汇添富基金管理股份有限公司委托代为办理登记业务的机构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32、</w:t>
      </w:r>
      <w:r>
        <w:rPr>
          <w:rFonts w:ascii="宋体" w:hAnsi="宋体" w:cs="宋体"/>
          <w:kern w:val="0"/>
          <w:sz w:val="24"/>
          <w:szCs w:val="24"/>
        </w:rPr>
        <w:t>基金账户：指登记机构为投资人开立的、记录其持有的、基金管理人所管理的基金份额余额及其变动情况的账户</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33、</w:t>
      </w:r>
      <w:r>
        <w:rPr>
          <w:rFonts w:ascii="宋体" w:hAnsi="宋体" w:cs="宋体"/>
          <w:kern w:val="0"/>
          <w:sz w:val="24"/>
          <w:szCs w:val="24"/>
        </w:rPr>
        <w:t>基金合同生效日：指基金募集达到法律法规规定及基金合同规定的条件，基金管理人向中国证监会办理基金备案手续完毕，并获得中国证监会书面确认的日期</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34、</w:t>
      </w:r>
      <w:r>
        <w:rPr>
          <w:rFonts w:ascii="宋体" w:hAnsi="宋体" w:cs="宋体"/>
          <w:kern w:val="0"/>
          <w:sz w:val="24"/>
          <w:szCs w:val="24"/>
        </w:rPr>
        <w:t>基金合同终止日：指基金合同规定的基金合同终止事由出现后，基金财产清算完毕，清算结果报中国证监会备案并予以公告的日期</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35、</w:t>
      </w:r>
      <w:r>
        <w:rPr>
          <w:rFonts w:ascii="宋体" w:hAnsi="宋体" w:cs="宋体"/>
          <w:kern w:val="0"/>
          <w:sz w:val="24"/>
          <w:szCs w:val="24"/>
        </w:rPr>
        <w:t>基金募集期：指自基金份额发售之日起至发售结束之日止的期间，最长不得超过3个月</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36、</w:t>
      </w:r>
      <w:r>
        <w:rPr>
          <w:rFonts w:ascii="宋体" w:hAnsi="宋体" w:cs="宋体"/>
          <w:kern w:val="0"/>
          <w:sz w:val="24"/>
          <w:szCs w:val="24"/>
        </w:rPr>
        <w:t>存续期：指基金合同生效至终止之间的不定期期限</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37、</w:t>
      </w:r>
      <w:r>
        <w:rPr>
          <w:rFonts w:ascii="宋体" w:hAnsi="宋体" w:cs="宋体"/>
          <w:kern w:val="0"/>
          <w:sz w:val="24"/>
          <w:szCs w:val="24"/>
        </w:rPr>
        <w:t>工作日：</w:t>
      </w:r>
      <w:r>
        <w:rPr>
          <w:rStyle w:val="66"/>
          <w:rFonts w:ascii="宋体" w:hAnsi="宋体" w:cs="宋体"/>
          <w:kern w:val="0"/>
          <w:sz w:val="24"/>
          <w:szCs w:val="24"/>
        </w:rPr>
        <w:t>指上海证券交易所、深圳证券交易所的正常交易日</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38、</w:t>
      </w:r>
      <w:r>
        <w:rPr>
          <w:rFonts w:ascii="宋体" w:hAnsi="宋体" w:cs="宋体"/>
          <w:kern w:val="0"/>
          <w:sz w:val="24"/>
          <w:szCs w:val="24"/>
        </w:rPr>
        <w:t>T日：指销售机构在规定时间受理投资人申购、赎回或其他业务申请的开放日</w:t>
      </w:r>
    </w:p>
    <w:p>
      <w:pPr>
        <w:pStyle w:val="65"/>
        <w:spacing w:line="360" w:lineRule="auto"/>
        <w:ind w:firstLine="480"/>
        <w:jc w:val="left"/>
        <w:rPr>
          <w:kern w:val="0"/>
          <w:sz w:val="24"/>
          <w:szCs w:val="24"/>
        </w:rPr>
      </w:pPr>
      <w:r>
        <w:rPr>
          <w:rStyle w:val="66"/>
          <w:rFonts w:ascii="宋体" w:hAnsi="宋体" w:cs="宋体"/>
          <w:kern w:val="0"/>
          <w:sz w:val="24"/>
          <w:szCs w:val="24"/>
        </w:rPr>
        <w:t>39、</w:t>
      </w:r>
      <w:r>
        <w:rPr>
          <w:rFonts w:ascii="宋体" w:hAnsi="宋体" w:cs="宋体"/>
          <w:kern w:val="0"/>
          <w:sz w:val="24"/>
          <w:szCs w:val="24"/>
        </w:rPr>
        <w:t>T+n日：指自T日起第n个工作日</w:t>
      </w:r>
      <w:r>
        <w:rPr>
          <w:rFonts w:hint="eastAsia" w:ascii="宋体" w:hAnsi="宋体" w:cs="宋体"/>
          <w:kern w:val="0"/>
          <w:sz w:val="24"/>
          <w:szCs w:val="24"/>
        </w:rPr>
        <w:t>（</w:t>
      </w:r>
      <w:r>
        <w:rPr>
          <w:rFonts w:ascii="宋体" w:hAnsi="宋体" w:cs="宋体"/>
          <w:kern w:val="0"/>
          <w:sz w:val="24"/>
          <w:szCs w:val="24"/>
        </w:rPr>
        <w:t>不包含T日</w:t>
      </w:r>
      <w:r>
        <w:rPr>
          <w:rFonts w:hint="eastAsia" w:ascii="宋体" w:hAnsi="宋体" w:cs="宋体"/>
          <w:kern w:val="0"/>
          <w:sz w:val="24"/>
          <w:szCs w:val="24"/>
        </w:rPr>
        <w:t>）</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40、开放日：指为投资人办理基金份额申购、赎回或其他业务的工作日</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41、</w:t>
      </w:r>
      <w:r>
        <w:rPr>
          <w:rFonts w:ascii="宋体" w:hAnsi="宋体" w:cs="宋体"/>
          <w:kern w:val="0"/>
          <w:sz w:val="24"/>
          <w:szCs w:val="24"/>
        </w:rPr>
        <w:t>开放时间：指开放日基金接受申购、赎回或其他交易的时间段</w:t>
      </w:r>
    </w:p>
    <w:p>
      <w:pPr>
        <w:pStyle w:val="65"/>
        <w:spacing w:line="360" w:lineRule="auto"/>
        <w:ind w:firstLine="480"/>
        <w:jc w:val="left"/>
        <w:rPr>
          <w:rFonts w:ascii="宋体" w:hAnsi="宋体" w:cs="宋体"/>
          <w:kern w:val="0"/>
          <w:sz w:val="24"/>
          <w:szCs w:val="24"/>
        </w:rPr>
      </w:pPr>
      <w:r>
        <w:rPr>
          <w:rFonts w:hint="eastAsia" w:ascii="宋体" w:hAnsi="宋体" w:cs="宋体"/>
          <w:kern w:val="0"/>
          <w:sz w:val="24"/>
          <w:szCs w:val="24"/>
        </w:rPr>
        <w:t>42、《业务规则》：指深圳证券交易所、中国证券登记结算有限责任公司、汇添富基金管理股份有限公司、基金销售机构的相关业务规则和规定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3</w:t>
      </w:r>
      <w:r>
        <w:rPr>
          <w:rStyle w:val="66"/>
          <w:rFonts w:ascii="宋体" w:hAnsi="宋体" w:cs="宋体"/>
          <w:kern w:val="0"/>
          <w:sz w:val="24"/>
          <w:szCs w:val="24"/>
        </w:rPr>
        <w:t>、</w:t>
      </w:r>
      <w:r>
        <w:rPr>
          <w:rFonts w:ascii="宋体" w:hAnsi="宋体" w:cs="宋体"/>
          <w:kern w:val="0"/>
          <w:sz w:val="24"/>
          <w:szCs w:val="24"/>
        </w:rPr>
        <w:t>标的指数：指</w:t>
      </w:r>
      <w:r>
        <w:rPr>
          <w:rStyle w:val="67"/>
          <w:rFonts w:ascii="宋体" w:hAnsi="宋体" w:cs="宋体"/>
          <w:kern w:val="0"/>
          <w:sz w:val="24"/>
          <w:szCs w:val="24"/>
        </w:rPr>
        <w:t>中证家电龙头</w:t>
      </w:r>
      <w:r>
        <w:rPr>
          <w:rFonts w:ascii="宋体" w:hAnsi="宋体" w:cs="宋体"/>
          <w:kern w:val="0"/>
          <w:sz w:val="24"/>
          <w:szCs w:val="24"/>
        </w:rPr>
        <w:t>指数</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4</w:t>
      </w:r>
      <w:r>
        <w:rPr>
          <w:rStyle w:val="66"/>
          <w:rFonts w:ascii="宋体" w:hAnsi="宋体" w:cs="宋体"/>
          <w:kern w:val="0"/>
          <w:sz w:val="24"/>
          <w:szCs w:val="24"/>
        </w:rPr>
        <w:t>、</w:t>
      </w:r>
      <w:r>
        <w:rPr>
          <w:rFonts w:ascii="宋体" w:hAnsi="宋体" w:cs="宋体"/>
          <w:kern w:val="0"/>
          <w:sz w:val="24"/>
          <w:szCs w:val="24"/>
        </w:rPr>
        <w:t>认购：指在基金募集期内，投资人根据基金合同和招募说明书的规定申请购买基金份额的行为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5</w:t>
      </w:r>
      <w:r>
        <w:rPr>
          <w:rStyle w:val="66"/>
          <w:rFonts w:ascii="宋体" w:hAnsi="宋体" w:cs="宋体"/>
          <w:kern w:val="0"/>
          <w:sz w:val="24"/>
          <w:szCs w:val="24"/>
        </w:rPr>
        <w:t>、</w:t>
      </w:r>
      <w:r>
        <w:rPr>
          <w:rFonts w:ascii="宋体" w:hAnsi="宋体" w:cs="宋体"/>
          <w:kern w:val="0"/>
          <w:sz w:val="24"/>
          <w:szCs w:val="24"/>
        </w:rPr>
        <w:t>申购：指基金合同生效后，投资人根据基金合同和招募说明书的规定申请购买基金份额的行为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6</w:t>
      </w:r>
      <w:r>
        <w:rPr>
          <w:rStyle w:val="66"/>
          <w:rFonts w:ascii="宋体" w:hAnsi="宋体" w:cs="宋体"/>
          <w:kern w:val="0"/>
          <w:sz w:val="24"/>
          <w:szCs w:val="24"/>
        </w:rPr>
        <w:t>、</w:t>
      </w:r>
      <w:r>
        <w:rPr>
          <w:rFonts w:ascii="宋体" w:hAnsi="宋体" w:cs="宋体"/>
          <w:kern w:val="0"/>
          <w:sz w:val="24"/>
          <w:szCs w:val="24"/>
        </w:rPr>
        <w:t>赎回：指基金合同生效后，基金份额持有人按基金合同和招募说明书规定的条件要求将基金份额兑换为基金合同所规定对价的行为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7</w:t>
      </w:r>
      <w:r>
        <w:rPr>
          <w:rStyle w:val="66"/>
          <w:rFonts w:ascii="宋体" w:hAnsi="宋体" w:cs="宋体"/>
          <w:kern w:val="0"/>
          <w:sz w:val="24"/>
          <w:szCs w:val="24"/>
        </w:rPr>
        <w:t>、</w:t>
      </w:r>
      <w:r>
        <w:rPr>
          <w:rFonts w:ascii="宋体" w:hAnsi="宋体" w:cs="宋体"/>
          <w:kern w:val="0"/>
          <w:sz w:val="24"/>
          <w:szCs w:val="24"/>
        </w:rPr>
        <w:t>申购赎回清单：指由基金管理人编制的用以公告申购对价、赎回对价等信息的文件</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8</w:t>
      </w:r>
      <w:r>
        <w:rPr>
          <w:rStyle w:val="66"/>
          <w:rFonts w:ascii="宋体" w:hAnsi="宋体" w:cs="宋体"/>
          <w:kern w:val="0"/>
          <w:sz w:val="24"/>
          <w:szCs w:val="24"/>
        </w:rPr>
        <w:t>、申购对价：指投资者申购基金份额时，按基金合同和招募说明书规定应交付的组合证券、现金替代、现金差额及其他对价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w:t>
      </w:r>
      <w:r>
        <w:rPr>
          <w:rStyle w:val="66"/>
          <w:rFonts w:hint="eastAsia" w:ascii="宋体" w:hAnsi="宋体" w:cs="宋体"/>
          <w:kern w:val="0"/>
          <w:sz w:val="24"/>
          <w:szCs w:val="24"/>
        </w:rPr>
        <w:t>9</w:t>
      </w:r>
      <w:r>
        <w:rPr>
          <w:rStyle w:val="66"/>
          <w:rFonts w:ascii="宋体" w:hAnsi="宋体" w:cs="宋体"/>
          <w:kern w:val="0"/>
          <w:sz w:val="24"/>
          <w:szCs w:val="24"/>
        </w:rPr>
        <w:t>、赎回对价：指基金份额持有人赎回基金份额时，基金管理人按基金合同和招募说明书规定应交付给赎回人的组合证券、现金替代、现金差额及其他对价</w:t>
      </w:r>
    </w:p>
    <w:p>
      <w:pPr>
        <w:pStyle w:val="65"/>
        <w:spacing w:line="360" w:lineRule="auto"/>
        <w:ind w:firstLine="480"/>
        <w:jc w:val="left"/>
        <w:rPr>
          <w:rFonts w:eastAsia="Times New Roman"/>
          <w:kern w:val="0"/>
          <w:sz w:val="24"/>
          <w:szCs w:val="24"/>
        </w:rPr>
      </w:pPr>
      <w:r>
        <w:rPr>
          <w:rStyle w:val="66"/>
          <w:rFonts w:hint="eastAsia" w:ascii="宋体" w:hAnsi="宋体" w:cs="宋体"/>
          <w:kern w:val="0"/>
          <w:sz w:val="24"/>
          <w:szCs w:val="24"/>
        </w:rPr>
        <w:t>50</w:t>
      </w:r>
      <w:r>
        <w:rPr>
          <w:rStyle w:val="66"/>
          <w:rFonts w:ascii="宋体" w:hAnsi="宋体" w:cs="宋体"/>
          <w:kern w:val="0"/>
          <w:sz w:val="24"/>
          <w:szCs w:val="24"/>
        </w:rPr>
        <w:t>、</w:t>
      </w:r>
      <w:r>
        <w:rPr>
          <w:rFonts w:ascii="宋体" w:hAnsi="宋体" w:cs="宋体"/>
          <w:kern w:val="0"/>
          <w:sz w:val="24"/>
          <w:szCs w:val="24"/>
        </w:rPr>
        <w:t>组合证券：指本基金标的指数所包含的全部或部分证券</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1</w:t>
      </w:r>
      <w:r>
        <w:rPr>
          <w:rStyle w:val="66"/>
          <w:rFonts w:ascii="宋体" w:hAnsi="宋体" w:cs="宋体"/>
          <w:kern w:val="0"/>
          <w:sz w:val="24"/>
          <w:szCs w:val="24"/>
        </w:rPr>
        <w:t>、现金替代：指申购或赎回过程中，投资者按基金合同和招募说明书的规定，用于替代组合证券中部分证券的一定数量的现金</w:t>
      </w:r>
    </w:p>
    <w:p>
      <w:pPr>
        <w:pStyle w:val="65"/>
        <w:widowControl/>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2</w:t>
      </w:r>
      <w:r>
        <w:rPr>
          <w:rStyle w:val="66"/>
          <w:rFonts w:ascii="宋体" w:hAnsi="宋体" w:cs="宋体"/>
          <w:kern w:val="0"/>
          <w:sz w:val="24"/>
          <w:szCs w:val="24"/>
        </w:rPr>
        <w:t>、现金差额：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3</w:t>
      </w:r>
      <w:r>
        <w:rPr>
          <w:rStyle w:val="66"/>
          <w:rFonts w:ascii="宋体" w:hAnsi="宋体" w:cs="宋体"/>
          <w:kern w:val="0"/>
          <w:sz w:val="24"/>
          <w:szCs w:val="24"/>
        </w:rPr>
        <w:t>、预估现金差额：指由基金管理人估计并在T日申购赎回清单中公布的当日现金差额的估计值，预估现金差额由申购赎回代理券商预先冻结</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4</w:t>
      </w:r>
      <w:r>
        <w:rPr>
          <w:rStyle w:val="66"/>
          <w:rFonts w:ascii="宋体" w:hAnsi="宋体" w:cs="宋体"/>
          <w:kern w:val="0"/>
          <w:sz w:val="24"/>
          <w:szCs w:val="24"/>
        </w:rPr>
        <w:t>、</w:t>
      </w:r>
      <w:r>
        <w:rPr>
          <w:rFonts w:ascii="宋体" w:hAnsi="宋体" w:cs="宋体"/>
          <w:kern w:val="0"/>
          <w:sz w:val="24"/>
          <w:szCs w:val="24"/>
        </w:rPr>
        <w:t>最小申购、赎回单位：指本基金申购份额、赎回份额的最低数量，投资者申购、赎回的基金份额应为最小申购、赎回单位的整数倍</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5</w:t>
      </w:r>
      <w:r>
        <w:rPr>
          <w:rStyle w:val="66"/>
          <w:rFonts w:ascii="宋体" w:hAnsi="宋体" w:cs="宋体"/>
          <w:kern w:val="0"/>
          <w:sz w:val="24"/>
          <w:szCs w:val="24"/>
        </w:rPr>
        <w:t>、基金份额参考净值：指基金管理人或者基金管理人委托的机构在开市后根据申购赎回清单和组合证券内各只证券的实时成交数据计算，并通过深圳证券交易所发布的基金份额参考净值，简称IOPV</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6</w:t>
      </w:r>
      <w:r>
        <w:rPr>
          <w:rStyle w:val="66"/>
          <w:rFonts w:ascii="宋体" w:hAnsi="宋体" w:cs="宋体"/>
          <w:kern w:val="0"/>
          <w:sz w:val="24"/>
          <w:szCs w:val="24"/>
        </w:rPr>
        <w:t>、</w:t>
      </w:r>
      <w:r>
        <w:rPr>
          <w:rFonts w:ascii="宋体" w:hAnsi="宋体" w:cs="宋体"/>
          <w:kern w:val="0"/>
          <w:sz w:val="24"/>
          <w:szCs w:val="24"/>
        </w:rPr>
        <w:t>基金份额折算：指基金管理人根据基金运作的需要，在基金资产净值不变的前提下，按照一定比例调整基金份额总额及基金份额净值的行为</w:t>
      </w:r>
    </w:p>
    <w:p>
      <w:pPr>
        <w:pStyle w:val="65"/>
        <w:spacing w:line="360" w:lineRule="auto"/>
        <w:ind w:firstLine="480"/>
        <w:rPr>
          <w:rFonts w:eastAsia="Times New Roman"/>
          <w:kern w:val="0"/>
          <w:sz w:val="24"/>
          <w:szCs w:val="24"/>
        </w:rPr>
      </w:pPr>
      <w:r>
        <w:rPr>
          <w:rStyle w:val="69"/>
          <w:rFonts w:ascii="宋体" w:hAnsi="宋体" w:cs="宋体"/>
          <w:kern w:val="0"/>
          <w:sz w:val="24"/>
          <w:szCs w:val="24"/>
        </w:rPr>
        <w:t>5</w:t>
      </w:r>
      <w:r>
        <w:rPr>
          <w:rStyle w:val="69"/>
          <w:rFonts w:hint="eastAsia" w:ascii="宋体" w:hAnsi="宋体" w:cs="宋体"/>
          <w:kern w:val="0"/>
          <w:sz w:val="24"/>
          <w:szCs w:val="24"/>
        </w:rPr>
        <w:t>7</w:t>
      </w:r>
      <w:r>
        <w:rPr>
          <w:rStyle w:val="69"/>
          <w:rFonts w:ascii="宋体" w:hAnsi="宋体" w:cs="宋体"/>
          <w:kern w:val="0"/>
          <w:sz w:val="24"/>
          <w:szCs w:val="24"/>
        </w:rPr>
        <w:t>、</w:t>
      </w:r>
      <w:r>
        <w:rPr>
          <w:rStyle w:val="68"/>
          <w:rFonts w:ascii="宋体" w:hAnsi="宋体" w:cs="宋体"/>
          <w:kern w:val="0"/>
          <w:sz w:val="24"/>
          <w:szCs w:val="24"/>
        </w:rPr>
        <w:t>收益评价日：指基金管理人计算基金相对标的指数的超额收益率（本基金份额净值增长率与标的指数同期增长率差额）和/或基金可供分配利润金额之日</w:t>
      </w:r>
    </w:p>
    <w:p>
      <w:pPr>
        <w:pStyle w:val="65"/>
        <w:spacing w:line="360" w:lineRule="auto"/>
        <w:ind w:firstLine="480"/>
        <w:rPr>
          <w:rFonts w:eastAsia="Times New Roman"/>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8</w:t>
      </w:r>
      <w:r>
        <w:rPr>
          <w:rStyle w:val="66"/>
          <w:rFonts w:ascii="宋体" w:hAnsi="宋体" w:cs="宋体"/>
          <w:kern w:val="0"/>
          <w:sz w:val="24"/>
          <w:szCs w:val="24"/>
        </w:rPr>
        <w:t>、</w:t>
      </w:r>
      <w:r>
        <w:rPr>
          <w:rFonts w:ascii="宋体" w:hAnsi="宋体" w:cs="宋体"/>
          <w:kern w:val="0"/>
          <w:sz w:val="24"/>
          <w:szCs w:val="24"/>
        </w:rPr>
        <w:t>元：指人民币元</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w:t>
      </w:r>
      <w:r>
        <w:rPr>
          <w:rStyle w:val="66"/>
          <w:rFonts w:hint="eastAsia" w:ascii="宋体" w:hAnsi="宋体" w:cs="宋体"/>
          <w:kern w:val="0"/>
          <w:sz w:val="24"/>
          <w:szCs w:val="24"/>
        </w:rPr>
        <w:t>9</w:t>
      </w:r>
      <w:r>
        <w:rPr>
          <w:rStyle w:val="66"/>
          <w:rFonts w:ascii="宋体" w:hAnsi="宋体" w:cs="宋体"/>
          <w:kern w:val="0"/>
          <w:sz w:val="24"/>
          <w:szCs w:val="24"/>
        </w:rPr>
        <w:t>、基金收益：指基金投资所得红利、股息、债券利息、买卖证券价差、银行存款利息、已实现的其他合法收入及因运用基金财产带来的成本和费用的节约</w:t>
      </w:r>
    </w:p>
    <w:p>
      <w:pPr>
        <w:pStyle w:val="65"/>
        <w:spacing w:line="360" w:lineRule="auto"/>
        <w:ind w:firstLine="480"/>
        <w:jc w:val="left"/>
        <w:rPr>
          <w:rFonts w:eastAsia="Times New Roman"/>
          <w:kern w:val="0"/>
          <w:sz w:val="24"/>
          <w:szCs w:val="24"/>
        </w:rPr>
      </w:pPr>
      <w:r>
        <w:rPr>
          <w:rStyle w:val="66"/>
          <w:rFonts w:hint="eastAsia" w:ascii="宋体" w:hAnsi="宋体" w:cs="宋体"/>
          <w:kern w:val="0"/>
          <w:sz w:val="24"/>
          <w:szCs w:val="24"/>
        </w:rPr>
        <w:t>60</w:t>
      </w:r>
      <w:r>
        <w:rPr>
          <w:rStyle w:val="66"/>
          <w:rFonts w:ascii="宋体" w:hAnsi="宋体" w:cs="宋体"/>
          <w:kern w:val="0"/>
          <w:sz w:val="24"/>
          <w:szCs w:val="24"/>
        </w:rPr>
        <w:t>、</w:t>
      </w:r>
      <w:r>
        <w:rPr>
          <w:rFonts w:ascii="宋体" w:hAnsi="宋体" w:cs="宋体"/>
          <w:kern w:val="0"/>
          <w:sz w:val="24"/>
          <w:szCs w:val="24"/>
        </w:rPr>
        <w:t>基金资产总值：指基金拥有的各类有价证券及票据价值、银行存款本息、基金应收申购款及其他资产的价值总和</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1</w:t>
      </w:r>
      <w:r>
        <w:rPr>
          <w:rStyle w:val="66"/>
          <w:rFonts w:ascii="宋体" w:hAnsi="宋体" w:cs="宋体"/>
          <w:kern w:val="0"/>
          <w:sz w:val="24"/>
          <w:szCs w:val="24"/>
        </w:rPr>
        <w:t>、</w:t>
      </w:r>
      <w:r>
        <w:rPr>
          <w:rFonts w:ascii="宋体" w:hAnsi="宋体" w:cs="宋体"/>
          <w:kern w:val="0"/>
          <w:sz w:val="24"/>
          <w:szCs w:val="24"/>
        </w:rPr>
        <w:t>基金资产净值：指基金资产总值减去基金负债后的价值</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2</w:t>
      </w:r>
      <w:r>
        <w:rPr>
          <w:rStyle w:val="66"/>
          <w:rFonts w:ascii="宋体" w:hAnsi="宋体" w:cs="宋体"/>
          <w:kern w:val="0"/>
          <w:sz w:val="24"/>
          <w:szCs w:val="24"/>
        </w:rPr>
        <w:t>、</w:t>
      </w:r>
      <w:r>
        <w:rPr>
          <w:rFonts w:ascii="宋体" w:hAnsi="宋体" w:cs="宋体"/>
          <w:kern w:val="0"/>
          <w:sz w:val="24"/>
          <w:szCs w:val="24"/>
        </w:rPr>
        <w:t>基金份额净值：指计算日基金资产净值除以计算日基金份额总数</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3</w:t>
      </w:r>
      <w:r>
        <w:rPr>
          <w:rStyle w:val="66"/>
          <w:rFonts w:ascii="宋体" w:hAnsi="宋体" w:cs="宋体"/>
          <w:kern w:val="0"/>
          <w:sz w:val="24"/>
          <w:szCs w:val="24"/>
        </w:rPr>
        <w:t>、</w:t>
      </w:r>
      <w:r>
        <w:rPr>
          <w:rFonts w:ascii="宋体" w:hAnsi="宋体" w:cs="宋体"/>
          <w:kern w:val="0"/>
          <w:sz w:val="24"/>
          <w:szCs w:val="24"/>
        </w:rPr>
        <w:t>基金资产估值：指计算评估基金资产和负债的价值，以确定基金资产净值和基金份额净值的过程</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4</w:t>
      </w:r>
      <w:r>
        <w:rPr>
          <w:rStyle w:val="66"/>
          <w:rFonts w:ascii="宋体" w:hAnsi="宋体" w:cs="宋体"/>
          <w:kern w:val="0"/>
          <w:sz w:val="24"/>
          <w:szCs w:val="24"/>
        </w:rPr>
        <w:t>、转融通证券出借业务：指本基金以一定费率通过证券交易所综合业务平台向中国证券金融股份有限公司出借证券，中国证券金融股份有限公司到期归还所借证券及相应权益补偿并支付费用的业务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5</w:t>
      </w:r>
      <w:r>
        <w:rPr>
          <w:rStyle w:val="66"/>
          <w:rFonts w:ascii="宋体" w:hAnsi="宋体" w:cs="宋体"/>
          <w:kern w:val="0"/>
          <w:sz w:val="24"/>
          <w:szCs w:val="24"/>
        </w:rPr>
        <w:t>、</w:t>
      </w:r>
      <w:r>
        <w:rPr>
          <w:rFonts w:ascii="宋体" w:hAnsi="宋体" w:cs="宋体"/>
          <w:kern w:val="0"/>
          <w:sz w:val="24"/>
          <w:szCs w:val="24"/>
        </w:rPr>
        <w:t>本基金联接基金：指“</w:t>
      </w:r>
      <w:r>
        <w:rPr>
          <w:rStyle w:val="67"/>
          <w:rFonts w:ascii="宋体" w:hAnsi="宋体" w:cs="宋体"/>
          <w:kern w:val="0"/>
          <w:sz w:val="24"/>
          <w:szCs w:val="24"/>
        </w:rPr>
        <w:t>汇添富中证家电龙头交易型开放式指数证券投资基金</w:t>
      </w:r>
      <w:r>
        <w:rPr>
          <w:rFonts w:ascii="宋体" w:hAnsi="宋体" w:cs="宋体"/>
          <w:kern w:val="0"/>
          <w:sz w:val="24"/>
          <w:szCs w:val="24"/>
        </w:rPr>
        <w:t>联接基金”以及基金管理人根据基金发展需要募集并管理的以本基金为目标ETF的其他联接基金</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6</w:t>
      </w:r>
      <w:r>
        <w:rPr>
          <w:rStyle w:val="66"/>
          <w:rFonts w:ascii="宋体" w:hAnsi="宋体" w:cs="宋体"/>
          <w:kern w:val="0"/>
          <w:sz w:val="24"/>
          <w:szCs w:val="24"/>
        </w:rPr>
        <w:t>、</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7</w:t>
      </w:r>
      <w:r>
        <w:rPr>
          <w:rStyle w:val="66"/>
          <w:rFonts w:ascii="宋体" w:hAnsi="宋体" w:cs="宋体"/>
          <w:kern w:val="0"/>
          <w:sz w:val="24"/>
          <w:szCs w:val="24"/>
        </w:rPr>
        <w:t>、</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如未来法律法规变动，基金管理人在履行适当程序后，可对上述流动性受限资产范围进行调整</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Style w:val="66"/>
          <w:rFonts w:hint="eastAsia" w:ascii="宋体" w:hAnsi="宋体" w:cs="宋体"/>
          <w:kern w:val="0"/>
          <w:sz w:val="24"/>
          <w:szCs w:val="24"/>
        </w:rPr>
        <w:t>8</w:t>
      </w:r>
      <w:r>
        <w:rPr>
          <w:rStyle w:val="66"/>
          <w:rFonts w:ascii="宋体" w:hAnsi="宋体" w:cs="宋体"/>
          <w:kern w:val="0"/>
          <w:sz w:val="24"/>
          <w:szCs w:val="24"/>
        </w:rPr>
        <w:t>、</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pPr>
        <w:pStyle w:val="2"/>
        <w:spacing w:before="0" w:after="0"/>
        <w:jc w:val="center"/>
        <w:rPr>
          <w:rFonts w:ascii="Times New Roman"/>
          <w:color w:val="auto"/>
          <w:sz w:val="30"/>
        </w:rPr>
      </w:pPr>
      <w:bookmarkStart w:id="41" w:name="_Toc256000002"/>
      <w:r>
        <w:rPr>
          <w:rFonts w:ascii="Times New Roman"/>
          <w:color w:val="auto"/>
          <w:sz w:val="30"/>
        </w:rPr>
        <w:t>第三部分  基金的基本情况</w:t>
      </w:r>
      <w:bookmarkEnd w:id="41"/>
    </w:p>
    <w:p/>
    <w:p>
      <w:pPr>
        <w:pStyle w:val="65"/>
        <w:spacing w:line="360" w:lineRule="auto"/>
        <w:ind w:firstLine="480"/>
        <w:rPr>
          <w:rFonts w:eastAsia="Times New Roman"/>
          <w:kern w:val="0"/>
          <w:sz w:val="24"/>
          <w:szCs w:val="24"/>
        </w:rPr>
      </w:pPr>
      <w:r>
        <w:rPr>
          <w:rFonts w:ascii="宋体" w:hAnsi="宋体" w:cs="宋体"/>
          <w:kern w:val="0"/>
          <w:sz w:val="24"/>
          <w:szCs w:val="24"/>
        </w:rPr>
        <w:t>一、基金名称</w:t>
      </w:r>
    </w:p>
    <w:p>
      <w:pPr>
        <w:pStyle w:val="65"/>
        <w:spacing w:line="360" w:lineRule="auto"/>
        <w:ind w:firstLine="480"/>
        <w:rPr>
          <w:rFonts w:ascii="宋体" w:hAnsi="宋体" w:cs="宋体"/>
          <w:kern w:val="0"/>
          <w:sz w:val="24"/>
          <w:szCs w:val="24"/>
        </w:rPr>
      </w:pPr>
      <w:r>
        <w:rPr>
          <w:rFonts w:ascii="宋体" w:hAnsi="宋体" w:cs="宋体"/>
          <w:kern w:val="0"/>
          <w:sz w:val="24"/>
          <w:szCs w:val="24"/>
        </w:rPr>
        <w:t>汇添富中证家电龙头交易型开放式指数证券投资基金</w:t>
      </w:r>
    </w:p>
    <w:p>
      <w:pPr>
        <w:pStyle w:val="65"/>
        <w:spacing w:line="360" w:lineRule="auto"/>
        <w:ind w:firstLine="480"/>
        <w:rPr>
          <w:rFonts w:eastAsia="Times New Roman"/>
          <w:kern w:val="0"/>
          <w:sz w:val="24"/>
          <w:szCs w:val="24"/>
        </w:rPr>
      </w:pPr>
      <w:r>
        <w:rPr>
          <w:rFonts w:ascii="宋体" w:hAnsi="宋体" w:cs="宋体"/>
          <w:kern w:val="0"/>
          <w:sz w:val="24"/>
          <w:szCs w:val="24"/>
        </w:rPr>
        <w:t>二、基金的类别</w:t>
      </w:r>
    </w:p>
    <w:p>
      <w:pPr>
        <w:pStyle w:val="65"/>
        <w:spacing w:line="360" w:lineRule="auto"/>
        <w:ind w:firstLine="480"/>
        <w:rPr>
          <w:rFonts w:eastAsia="Times New Roman"/>
          <w:kern w:val="0"/>
          <w:sz w:val="24"/>
          <w:szCs w:val="24"/>
        </w:rPr>
      </w:pPr>
      <w:r>
        <w:rPr>
          <w:rStyle w:val="66"/>
          <w:rFonts w:ascii="宋体" w:hAnsi="宋体" w:cs="宋体"/>
          <w:kern w:val="0"/>
          <w:sz w:val="24"/>
          <w:szCs w:val="24"/>
        </w:rPr>
        <w:t>股票型证券投资基金</w:t>
      </w:r>
    </w:p>
    <w:p>
      <w:pPr>
        <w:pStyle w:val="65"/>
        <w:spacing w:line="360" w:lineRule="auto"/>
        <w:ind w:firstLine="480"/>
        <w:rPr>
          <w:rFonts w:eastAsia="Times New Roman"/>
          <w:kern w:val="0"/>
          <w:sz w:val="24"/>
          <w:szCs w:val="24"/>
        </w:rPr>
      </w:pPr>
      <w:r>
        <w:rPr>
          <w:rFonts w:ascii="宋体" w:hAnsi="宋体" w:cs="宋体"/>
          <w:kern w:val="0"/>
          <w:sz w:val="24"/>
          <w:szCs w:val="24"/>
        </w:rPr>
        <w:t>三、基金的运作方式</w:t>
      </w:r>
    </w:p>
    <w:p>
      <w:pPr>
        <w:pStyle w:val="65"/>
        <w:spacing w:line="360" w:lineRule="auto"/>
        <w:ind w:firstLine="480"/>
        <w:rPr>
          <w:rFonts w:eastAsia="Times New Roman"/>
          <w:kern w:val="0"/>
          <w:sz w:val="24"/>
          <w:szCs w:val="24"/>
        </w:rPr>
      </w:pPr>
      <w:r>
        <w:rPr>
          <w:rFonts w:ascii="宋体" w:hAnsi="宋体" w:cs="宋体"/>
          <w:kern w:val="0"/>
          <w:sz w:val="24"/>
          <w:szCs w:val="24"/>
        </w:rPr>
        <w:t>交易型开放式</w:t>
      </w:r>
    </w:p>
    <w:p>
      <w:pPr>
        <w:pStyle w:val="65"/>
        <w:spacing w:line="360" w:lineRule="auto"/>
        <w:ind w:firstLine="480"/>
        <w:rPr>
          <w:rFonts w:eastAsia="Times New Roman"/>
          <w:kern w:val="0"/>
          <w:sz w:val="24"/>
          <w:szCs w:val="24"/>
        </w:rPr>
      </w:pPr>
      <w:r>
        <w:rPr>
          <w:rFonts w:ascii="宋体" w:hAnsi="宋体" w:cs="宋体"/>
          <w:kern w:val="0"/>
          <w:sz w:val="24"/>
          <w:szCs w:val="24"/>
        </w:rPr>
        <w:t>四、基金的标的指数</w:t>
      </w:r>
    </w:p>
    <w:p>
      <w:pPr>
        <w:pStyle w:val="65"/>
        <w:spacing w:line="360" w:lineRule="auto"/>
        <w:ind w:firstLine="480"/>
        <w:rPr>
          <w:rFonts w:ascii="宋体" w:hAnsi="宋体" w:cs="宋体"/>
          <w:kern w:val="0"/>
          <w:sz w:val="24"/>
          <w:szCs w:val="24"/>
        </w:rPr>
      </w:pPr>
      <w:r>
        <w:rPr>
          <w:rStyle w:val="67"/>
          <w:rFonts w:ascii="宋体" w:hAnsi="宋体" w:cs="宋体"/>
          <w:kern w:val="0"/>
          <w:sz w:val="24"/>
          <w:szCs w:val="24"/>
        </w:rPr>
        <w:t>中证家电龙头</w:t>
      </w:r>
      <w:r>
        <w:rPr>
          <w:rFonts w:ascii="宋体" w:hAnsi="宋体" w:cs="宋体"/>
          <w:kern w:val="0"/>
          <w:sz w:val="24"/>
          <w:szCs w:val="24"/>
        </w:rPr>
        <w:t>指数</w:t>
      </w:r>
    </w:p>
    <w:p>
      <w:pPr>
        <w:pStyle w:val="65"/>
        <w:spacing w:line="360" w:lineRule="auto"/>
        <w:ind w:firstLine="480"/>
        <w:rPr>
          <w:rFonts w:eastAsia="Times New Roman"/>
          <w:kern w:val="0"/>
          <w:sz w:val="24"/>
          <w:szCs w:val="24"/>
        </w:rPr>
      </w:pPr>
      <w:r>
        <w:rPr>
          <w:rFonts w:ascii="宋体" w:hAnsi="宋体" w:cs="宋体"/>
          <w:kern w:val="0"/>
          <w:sz w:val="24"/>
          <w:szCs w:val="24"/>
        </w:rPr>
        <w:t>五、基金的投资目标</w:t>
      </w:r>
    </w:p>
    <w:p>
      <w:pPr>
        <w:pStyle w:val="65"/>
        <w:spacing w:line="360" w:lineRule="auto"/>
        <w:ind w:firstLine="480"/>
        <w:rPr>
          <w:rFonts w:ascii="宋体" w:hAnsi="宋体" w:cs="宋体"/>
          <w:kern w:val="0"/>
          <w:sz w:val="24"/>
          <w:szCs w:val="24"/>
        </w:rPr>
      </w:pPr>
      <w:r>
        <w:rPr>
          <w:rFonts w:ascii="宋体" w:hAnsi="宋体" w:cs="宋体"/>
          <w:kern w:val="0"/>
          <w:sz w:val="24"/>
          <w:szCs w:val="24"/>
        </w:rPr>
        <w:t>紧密跟踪标的指数，追求跟踪偏离度和跟踪误差的最小化。</w:t>
      </w:r>
    </w:p>
    <w:p>
      <w:pPr>
        <w:pStyle w:val="65"/>
        <w:spacing w:line="360" w:lineRule="auto"/>
        <w:ind w:firstLine="480"/>
        <w:rPr>
          <w:rFonts w:eastAsia="Times New Roman"/>
          <w:kern w:val="0"/>
          <w:sz w:val="24"/>
          <w:szCs w:val="24"/>
        </w:rPr>
      </w:pPr>
      <w:r>
        <w:rPr>
          <w:rFonts w:ascii="宋体" w:hAnsi="宋体" w:cs="宋体"/>
          <w:kern w:val="0"/>
          <w:sz w:val="24"/>
          <w:szCs w:val="24"/>
        </w:rPr>
        <w:t>六、基金的最低募集份额总额</w:t>
      </w:r>
    </w:p>
    <w:p>
      <w:pPr>
        <w:pStyle w:val="65"/>
        <w:spacing w:line="360" w:lineRule="auto"/>
        <w:ind w:firstLine="480"/>
        <w:rPr>
          <w:rFonts w:eastAsia="Times New Roman"/>
          <w:kern w:val="0"/>
          <w:sz w:val="24"/>
          <w:szCs w:val="24"/>
        </w:rPr>
      </w:pPr>
      <w:r>
        <w:rPr>
          <w:rFonts w:ascii="宋体" w:hAnsi="宋体" w:cs="宋体"/>
          <w:kern w:val="0"/>
          <w:sz w:val="24"/>
          <w:szCs w:val="24"/>
        </w:rPr>
        <w:t>本基金的最低募集份额总额为2亿份。</w:t>
      </w:r>
    </w:p>
    <w:p>
      <w:pPr>
        <w:pStyle w:val="65"/>
        <w:spacing w:line="360" w:lineRule="auto"/>
        <w:ind w:firstLine="480"/>
        <w:rPr>
          <w:rFonts w:eastAsia="Times New Roman"/>
          <w:kern w:val="0"/>
          <w:sz w:val="24"/>
          <w:szCs w:val="24"/>
        </w:rPr>
      </w:pPr>
      <w:r>
        <w:rPr>
          <w:rFonts w:ascii="宋体" w:hAnsi="宋体" w:cs="宋体"/>
          <w:kern w:val="0"/>
          <w:sz w:val="24"/>
          <w:szCs w:val="24"/>
        </w:rPr>
        <w:t>七、基金份额发售面值和认购费用</w:t>
      </w:r>
    </w:p>
    <w:p>
      <w:pPr>
        <w:pStyle w:val="65"/>
        <w:spacing w:line="360" w:lineRule="auto"/>
        <w:ind w:firstLine="480"/>
        <w:rPr>
          <w:rFonts w:eastAsia="Times New Roman"/>
          <w:kern w:val="0"/>
          <w:sz w:val="24"/>
          <w:szCs w:val="24"/>
        </w:rPr>
      </w:pPr>
      <w:r>
        <w:rPr>
          <w:rFonts w:ascii="宋体" w:hAnsi="宋体" w:cs="宋体"/>
          <w:kern w:val="0"/>
          <w:sz w:val="24"/>
          <w:szCs w:val="24"/>
        </w:rPr>
        <w:t>本基金基金份额发售面值为人民币1.00元。</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本基金认购费率按招募说明书及基金产品资料概要的规定执行。</w:t>
      </w:r>
    </w:p>
    <w:p>
      <w:pPr>
        <w:pStyle w:val="65"/>
        <w:spacing w:line="360" w:lineRule="auto"/>
        <w:ind w:firstLine="480"/>
        <w:rPr>
          <w:rFonts w:eastAsia="Times New Roman"/>
          <w:kern w:val="0"/>
          <w:sz w:val="24"/>
          <w:szCs w:val="24"/>
        </w:rPr>
      </w:pPr>
      <w:r>
        <w:rPr>
          <w:rFonts w:ascii="宋体" w:hAnsi="宋体" w:cs="宋体"/>
          <w:kern w:val="0"/>
          <w:sz w:val="24"/>
          <w:szCs w:val="24"/>
        </w:rPr>
        <w:t>八、基金存续期限</w:t>
      </w:r>
    </w:p>
    <w:p>
      <w:pPr>
        <w:pStyle w:val="65"/>
        <w:spacing w:line="360" w:lineRule="auto"/>
        <w:ind w:firstLine="480"/>
        <w:rPr>
          <w:rFonts w:eastAsia="Times New Roman"/>
          <w:kern w:val="0"/>
          <w:sz w:val="24"/>
          <w:szCs w:val="24"/>
        </w:rPr>
      </w:pPr>
      <w:r>
        <w:rPr>
          <w:rFonts w:ascii="宋体" w:hAnsi="宋体" w:cs="宋体"/>
          <w:kern w:val="0"/>
          <w:sz w:val="24"/>
          <w:szCs w:val="24"/>
        </w:rPr>
        <w:t>不定期</w:t>
      </w:r>
    </w:p>
    <w:p>
      <w:pPr>
        <w:pStyle w:val="65"/>
        <w:spacing w:line="360" w:lineRule="auto"/>
        <w:ind w:firstLine="480"/>
        <w:rPr>
          <w:rFonts w:eastAsia="Times New Roman"/>
          <w:kern w:val="0"/>
          <w:sz w:val="24"/>
          <w:szCs w:val="24"/>
        </w:rPr>
      </w:pPr>
      <w:r>
        <w:rPr>
          <w:rFonts w:ascii="宋体" w:hAnsi="宋体" w:cs="宋体"/>
          <w:kern w:val="0"/>
          <w:sz w:val="24"/>
          <w:szCs w:val="24"/>
        </w:rPr>
        <w:t>九、发行联接基金或增设新的基金份额类别</w:t>
      </w:r>
    </w:p>
    <w:p>
      <w:pPr>
        <w:pStyle w:val="65"/>
        <w:spacing w:line="360" w:lineRule="auto"/>
        <w:ind w:firstLine="480"/>
        <w:rPr>
          <w:rFonts w:eastAsia="Times New Roman"/>
          <w:kern w:val="0"/>
          <w:sz w:val="24"/>
          <w:szCs w:val="24"/>
        </w:rPr>
      </w:pPr>
      <w:r>
        <w:rPr>
          <w:rFonts w:ascii="宋体" w:hAnsi="宋体" w:cs="宋体"/>
          <w:kern w:val="0"/>
          <w:sz w:val="24"/>
          <w:szCs w:val="24"/>
        </w:rPr>
        <w:t>在不违反法律法规及对基金份额持有人利益无实质性不利影响的前提下，基金管理人可根据基金发展需要，与基金托管人协商一致后，募集并管理以本基金为目标ETF的一只或多只联接基金，或为本基金增设新的基金份额类别，而无需召开基金份额持有人大会审议，但需在调整实施之日前依照《信息披露办法》的有关规定在规定媒介上公告。</w:t>
      </w:r>
      <w:r>
        <w:rPr>
          <w:rFonts w:ascii="宋体" w:hAnsi="宋体" w:cs="宋体"/>
          <w:kern w:val="0"/>
          <w:sz w:val="24"/>
          <w:szCs w:val="24"/>
        </w:rPr>
        <w:br w:type="page"/>
      </w:r>
    </w:p>
    <w:p>
      <w:pPr>
        <w:pStyle w:val="2"/>
        <w:spacing w:before="0" w:after="0"/>
        <w:jc w:val="center"/>
        <w:rPr>
          <w:rFonts w:ascii="Times New Roman"/>
          <w:color w:val="auto"/>
          <w:sz w:val="30"/>
        </w:rPr>
      </w:pPr>
      <w:bookmarkStart w:id="42" w:name="_Toc256000003"/>
      <w:r>
        <w:rPr>
          <w:rFonts w:ascii="Times New Roman"/>
          <w:color w:val="auto"/>
          <w:sz w:val="30"/>
        </w:rPr>
        <w:t>第四部分  基金份额的发售</w:t>
      </w:r>
      <w:bookmarkEnd w:id="42"/>
    </w:p>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基金份额的发售时间、发售方式、发售对象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发售时间</w:t>
      </w:r>
    </w:p>
    <w:p>
      <w:pPr>
        <w:pStyle w:val="65"/>
        <w:spacing w:line="360" w:lineRule="auto"/>
        <w:ind w:firstLine="480"/>
        <w:rPr>
          <w:rFonts w:eastAsia="Times New Roman"/>
          <w:kern w:val="0"/>
          <w:sz w:val="24"/>
          <w:szCs w:val="24"/>
        </w:rPr>
      </w:pPr>
      <w:r>
        <w:rPr>
          <w:rFonts w:ascii="宋体" w:hAnsi="宋体" w:cs="宋体"/>
          <w:kern w:val="0"/>
          <w:sz w:val="24"/>
          <w:szCs w:val="24"/>
        </w:rPr>
        <w:t>自基金份额发售之日起最长不得超过3个月，具体发售时间见基金份额发售公告。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发售方式</w:t>
      </w:r>
    </w:p>
    <w:p>
      <w:pPr>
        <w:pStyle w:val="65"/>
        <w:spacing w:line="360" w:lineRule="auto"/>
        <w:ind w:firstLine="480"/>
        <w:rPr>
          <w:rFonts w:eastAsia="Times New Roman"/>
          <w:kern w:val="0"/>
          <w:sz w:val="24"/>
          <w:szCs w:val="24"/>
        </w:rPr>
      </w:pPr>
      <w:r>
        <w:rPr>
          <w:rStyle w:val="66"/>
          <w:rFonts w:ascii="宋体" w:hAnsi="宋体" w:cs="宋体"/>
          <w:kern w:val="0"/>
          <w:sz w:val="24"/>
          <w:szCs w:val="24"/>
        </w:rPr>
        <w:t>投资人可选择网上现金认购、网下现金认购和网下股票认购三种方式认购本基金。</w:t>
      </w:r>
    </w:p>
    <w:p>
      <w:pPr>
        <w:pStyle w:val="65"/>
        <w:spacing w:line="360" w:lineRule="auto"/>
        <w:ind w:firstLine="480"/>
        <w:rPr>
          <w:rFonts w:eastAsia="Times New Roman"/>
          <w:kern w:val="0"/>
          <w:sz w:val="24"/>
          <w:szCs w:val="24"/>
        </w:rPr>
      </w:pPr>
      <w:r>
        <w:rPr>
          <w:rStyle w:val="66"/>
          <w:rFonts w:ascii="宋体" w:hAnsi="宋体" w:cs="宋体"/>
          <w:kern w:val="0"/>
          <w:sz w:val="24"/>
          <w:szCs w:val="24"/>
        </w:rPr>
        <w:t>网上现金认购是指投资人通过基金管理人指定的发售代理机构用深圳证券交易所网上系统以现金进行的认购。</w:t>
      </w:r>
    </w:p>
    <w:p>
      <w:pPr>
        <w:pStyle w:val="65"/>
        <w:spacing w:line="360" w:lineRule="auto"/>
        <w:ind w:firstLine="480"/>
        <w:rPr>
          <w:rFonts w:eastAsia="Times New Roman"/>
          <w:kern w:val="0"/>
          <w:sz w:val="24"/>
          <w:szCs w:val="24"/>
        </w:rPr>
      </w:pPr>
      <w:r>
        <w:rPr>
          <w:rFonts w:ascii="宋体" w:hAnsi="宋体" w:cs="宋体"/>
          <w:kern w:val="0"/>
          <w:sz w:val="24"/>
          <w:szCs w:val="24"/>
        </w:rPr>
        <w:t>网下现金认购是指投资人通过基金管理人和/或</w:t>
      </w:r>
      <w:r>
        <w:rPr>
          <w:rFonts w:hint="eastAsia" w:ascii="宋体" w:hAnsi="宋体" w:cs="宋体"/>
          <w:kern w:val="0"/>
          <w:sz w:val="24"/>
          <w:szCs w:val="24"/>
        </w:rPr>
        <w:t>其</w:t>
      </w:r>
      <w:r>
        <w:rPr>
          <w:rFonts w:ascii="宋体" w:hAnsi="宋体" w:cs="宋体"/>
          <w:kern w:val="0"/>
          <w:sz w:val="24"/>
          <w:szCs w:val="24"/>
        </w:rPr>
        <w:t>指定的发售代理机构以现金进行的认购。</w:t>
      </w:r>
    </w:p>
    <w:p>
      <w:pPr>
        <w:pStyle w:val="65"/>
        <w:spacing w:line="360" w:lineRule="auto"/>
        <w:ind w:firstLine="480"/>
        <w:rPr>
          <w:rFonts w:eastAsia="Times New Roman"/>
          <w:kern w:val="0"/>
          <w:sz w:val="24"/>
          <w:szCs w:val="24"/>
        </w:rPr>
      </w:pPr>
      <w:r>
        <w:rPr>
          <w:rStyle w:val="66"/>
          <w:rFonts w:ascii="宋体" w:hAnsi="宋体" w:cs="宋体"/>
          <w:kern w:val="0"/>
          <w:sz w:val="24"/>
          <w:szCs w:val="24"/>
        </w:rPr>
        <w:t>网下股票认购是指投资人通过基金管理人和/或其指定的发售代理机构以股票进行的认购。</w:t>
      </w:r>
    </w:p>
    <w:p>
      <w:pPr>
        <w:pStyle w:val="65"/>
        <w:spacing w:line="360" w:lineRule="auto"/>
        <w:ind w:firstLine="480"/>
        <w:rPr>
          <w:rFonts w:eastAsia="Times New Roman"/>
          <w:kern w:val="0"/>
          <w:sz w:val="24"/>
          <w:szCs w:val="24"/>
        </w:rPr>
      </w:pPr>
      <w:r>
        <w:rPr>
          <w:rFonts w:ascii="宋体" w:hAnsi="宋体" w:cs="宋体"/>
          <w:kern w:val="0"/>
          <w:sz w:val="24"/>
          <w:szCs w:val="24"/>
        </w:rPr>
        <w:t>基金管理人可以根据具体情况调整本基金的发售方式，并在基金份额发售公告或相关公告中列明。</w:t>
      </w:r>
    </w:p>
    <w:p>
      <w:pPr>
        <w:pStyle w:val="65"/>
        <w:spacing w:line="360" w:lineRule="auto"/>
        <w:ind w:firstLine="480"/>
        <w:rPr>
          <w:rFonts w:eastAsia="Times New Roman"/>
          <w:kern w:val="0"/>
          <w:sz w:val="24"/>
          <w:szCs w:val="24"/>
        </w:rPr>
      </w:pPr>
      <w:r>
        <w:rPr>
          <w:rFonts w:ascii="宋体" w:hAnsi="宋体" w:cs="宋体"/>
          <w:kern w:val="0"/>
          <w:sz w:val="24"/>
          <w:szCs w:val="24"/>
        </w:rPr>
        <w:t>投资人应当在基金管理人和/或其指定发售代理机构办理基金发售业务的营业场所，或者按基金管理人或发售代理机构提供的方式办理基金份额的认购。销售机构的具体名单详见基金管理人网站届时公示的基金销售机构名录。</w:t>
      </w:r>
    </w:p>
    <w:p>
      <w:pPr>
        <w:pStyle w:val="65"/>
        <w:spacing w:line="360" w:lineRule="auto"/>
        <w:ind w:firstLine="480"/>
        <w:rPr>
          <w:rFonts w:eastAsia="Times New Roman"/>
          <w:kern w:val="0"/>
          <w:sz w:val="24"/>
          <w:szCs w:val="24"/>
        </w:rPr>
      </w:pPr>
      <w:r>
        <w:rPr>
          <w:rFonts w:ascii="宋体" w:hAnsi="宋体" w:cs="宋体"/>
          <w:kern w:val="0"/>
          <w:sz w:val="24"/>
          <w:szCs w:val="24"/>
        </w:rPr>
        <w:t>基金管理人可依据实际情况增减、变更销售机构，并在基金管理人网站公示。</w:t>
      </w:r>
    </w:p>
    <w:p>
      <w:pPr>
        <w:pStyle w:val="65"/>
        <w:spacing w:line="360" w:lineRule="auto"/>
        <w:ind w:firstLine="48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的确认以登记机构的确认结果为准。对于认购申请及认购份额的确认情况，投资者应及时查询并妥善行使合法权利，否则，由此产生的任何损失由投资者自行承担。</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发售对象</w:t>
      </w:r>
    </w:p>
    <w:p>
      <w:pPr>
        <w:pStyle w:val="65"/>
        <w:spacing w:line="360" w:lineRule="auto"/>
        <w:ind w:firstLine="480"/>
        <w:rPr>
          <w:rFonts w:eastAsia="Times New Roman"/>
          <w:kern w:val="0"/>
          <w:sz w:val="24"/>
          <w:szCs w:val="24"/>
        </w:rPr>
      </w:pPr>
      <w:r>
        <w:rPr>
          <w:rFonts w:ascii="宋体" w:hAnsi="宋体" w:cs="宋体"/>
          <w:kern w:val="0"/>
          <w:sz w:val="24"/>
          <w:szCs w:val="24"/>
        </w:rPr>
        <w:t>符合法律法规规定的可投资于证券投资基金的个人投资者、机构投资者和合格境外投资者以及法律法规或中国证监会允许购买证券投资基金的其他投资人。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基金份额的认购</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认购费用</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本基金的认购费率由基金管理人决定，并在招募说明书及基金产品资料概要中列示。基金认购费用不列入基金财产。</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2、募集期资金和股票的处理方式</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募集期间募集的资金存入专门账户，在基金募集行为结束前，任何人不得动用。投资人以股票认购的，基金募集期的股票应予以冻结；网下股票认购所募集的股票在网下股票认购日至登记机构进行股票过户日的冻结期间所产生的权益归投资人所有。</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基金认购份额的计算</w:t>
      </w:r>
    </w:p>
    <w:p>
      <w:pPr>
        <w:pStyle w:val="65"/>
        <w:spacing w:line="360" w:lineRule="auto"/>
        <w:ind w:firstLine="480"/>
        <w:rPr>
          <w:rFonts w:eastAsia="Times New Roman"/>
          <w:kern w:val="0"/>
          <w:sz w:val="24"/>
          <w:szCs w:val="24"/>
        </w:rPr>
      </w:pPr>
      <w:r>
        <w:rPr>
          <w:rFonts w:ascii="宋体" w:hAnsi="宋体" w:cs="宋体"/>
          <w:kern w:val="0"/>
          <w:sz w:val="24"/>
          <w:szCs w:val="24"/>
        </w:rPr>
        <w:t>基金认购份额具体的计算方法在招募说明书中列示。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基金份额认购数额的限制</w:t>
      </w:r>
    </w:p>
    <w:p>
      <w:pPr>
        <w:pStyle w:val="65"/>
        <w:spacing w:line="360" w:lineRule="auto"/>
        <w:ind w:firstLine="480"/>
        <w:rPr>
          <w:rFonts w:eastAsia="Times New Roman"/>
          <w:kern w:val="0"/>
          <w:sz w:val="24"/>
          <w:szCs w:val="24"/>
        </w:rPr>
      </w:pPr>
      <w:r>
        <w:rPr>
          <w:rFonts w:ascii="宋体" w:hAnsi="宋体" w:cs="宋体"/>
          <w:kern w:val="0"/>
          <w:sz w:val="24"/>
          <w:szCs w:val="24"/>
        </w:rPr>
        <w:t>基金管理人可以对投资者的认购数额进行限制，具体限制和处理方式请参看招募说明书或相关公告。</w:t>
      </w:r>
      <w:r>
        <w:rPr>
          <w:rStyle w:val="66"/>
          <w:rFonts w:ascii="宋体" w:hAnsi="宋体" w:cs="宋体"/>
          <w:kern w:val="0"/>
          <w:sz w:val="24"/>
          <w:szCs w:val="24"/>
        </w:rPr>
        <w:t>基金管理人可以对募集期间的本基金募集规模设置上限。募集期内超过募集规模上限时，基金管理人可以采用比例确认或其他方式进行确认，具体办法参见基金份额发售公告或相关公告。</w:t>
      </w:r>
    </w:p>
    <w:p>
      <w:pPr>
        <w:pStyle w:val="65"/>
        <w:spacing w:line="360" w:lineRule="auto"/>
        <w:ind w:firstLine="480"/>
        <w:rPr>
          <w:rFonts w:eastAsia="Times New Roman"/>
          <w:kern w:val="0"/>
          <w:sz w:val="24"/>
          <w:szCs w:val="24"/>
        </w:rPr>
      </w:pPr>
      <w:r>
        <w:rPr>
          <w:rFonts w:ascii="宋体" w:hAnsi="宋体" w:cs="宋体"/>
          <w:kern w:val="0"/>
          <w:sz w:val="24"/>
          <w:szCs w:val="24"/>
        </w:rPr>
        <w:t>三、基金份额认购的其他具体规定</w:t>
      </w:r>
    </w:p>
    <w:p>
      <w:pPr>
        <w:pStyle w:val="65"/>
        <w:spacing w:line="360" w:lineRule="auto"/>
        <w:ind w:firstLine="480"/>
        <w:rPr>
          <w:rFonts w:eastAsia="Times New Roman"/>
          <w:kern w:val="0"/>
          <w:sz w:val="24"/>
          <w:szCs w:val="24"/>
        </w:rPr>
      </w:pPr>
      <w:r>
        <w:rPr>
          <w:rFonts w:ascii="宋体" w:hAnsi="宋体" w:cs="宋体"/>
          <w:kern w:val="0"/>
          <w:sz w:val="24"/>
          <w:szCs w:val="24"/>
        </w:rPr>
        <w:t>投资人认购原则、认购时间安排、投资人认购应提交的文件和办理的手续、募集期利息的处理方式等事项，由基金管理人根据相关法律法规以及本基金合同的规定，在招募说明书或基金份额发售公告中确定并披露。</w:t>
      </w:r>
      <w:r>
        <w:rPr>
          <w:rFonts w:ascii="宋体" w:hAnsi="宋体" w:cs="宋体"/>
          <w:kern w:val="0"/>
          <w:sz w:val="24"/>
          <w:szCs w:val="24"/>
        </w:rPr>
        <w:br w:type="page"/>
      </w:r>
    </w:p>
    <w:p>
      <w:pPr>
        <w:pStyle w:val="2"/>
        <w:spacing w:before="0" w:after="0"/>
        <w:jc w:val="center"/>
        <w:rPr>
          <w:rFonts w:ascii="Times New Roman"/>
          <w:color w:val="auto"/>
          <w:sz w:val="30"/>
        </w:rPr>
      </w:pPr>
      <w:bookmarkStart w:id="43" w:name="_Toc256000004"/>
      <w:r>
        <w:rPr>
          <w:rFonts w:ascii="Times New Roman"/>
          <w:color w:val="auto"/>
          <w:sz w:val="30"/>
        </w:rPr>
        <w:t>第五部分  基金备案</w:t>
      </w:r>
      <w:bookmarkEnd w:id="43"/>
    </w:p>
    <w:p/>
    <w:p>
      <w:pPr>
        <w:pStyle w:val="65"/>
        <w:spacing w:line="360" w:lineRule="auto"/>
        <w:ind w:firstLine="480"/>
        <w:jc w:val="left"/>
        <w:rPr>
          <w:rFonts w:eastAsia="Times New Roman"/>
          <w:kern w:val="0"/>
          <w:sz w:val="24"/>
          <w:szCs w:val="24"/>
        </w:rPr>
      </w:pPr>
      <w:r>
        <w:rPr>
          <w:rFonts w:ascii="宋体" w:hAnsi="宋体" w:cs="宋体"/>
          <w:kern w:val="0"/>
          <w:sz w:val="24"/>
          <w:szCs w:val="24"/>
        </w:rPr>
        <w:t>一、基金备案的条件</w:t>
      </w:r>
    </w:p>
    <w:p>
      <w:pPr>
        <w:pStyle w:val="65"/>
        <w:spacing w:line="360" w:lineRule="auto"/>
        <w:ind w:firstLine="480"/>
        <w:rPr>
          <w:rFonts w:eastAsia="Times New Roman"/>
          <w:kern w:val="0"/>
          <w:sz w:val="24"/>
          <w:szCs w:val="24"/>
        </w:rPr>
      </w:pPr>
      <w:r>
        <w:rPr>
          <w:rFonts w:ascii="宋体" w:hAnsi="宋体" w:cs="宋体"/>
          <w:kern w:val="0"/>
          <w:sz w:val="24"/>
          <w:szCs w:val="24"/>
        </w:rPr>
        <w:t>本基金自基金份额发售之日起3个月内，在基金募集份额总额不少于2亿份，基金募集金额（含网下股票认购所募集的股票按基金合同约定的估值方法计算的价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所募集的股票应予以冻结。</w:t>
      </w:r>
    </w:p>
    <w:p>
      <w:pPr>
        <w:pStyle w:val="65"/>
        <w:spacing w:line="360" w:lineRule="auto"/>
        <w:ind w:firstLine="480"/>
        <w:rPr>
          <w:rFonts w:ascii="宋体" w:hAnsi="宋体" w:cs="宋体"/>
          <w:kern w:val="0"/>
          <w:sz w:val="24"/>
          <w:szCs w:val="24"/>
        </w:rPr>
      </w:pPr>
      <w:r>
        <w:rPr>
          <w:rFonts w:ascii="宋体" w:hAnsi="宋体" w:cs="宋体"/>
          <w:kern w:val="0"/>
          <w:sz w:val="24"/>
          <w:szCs w:val="24"/>
        </w:rPr>
        <w:t>二、基金合同不能生效时募集资金及股票的处理方式</w:t>
      </w:r>
    </w:p>
    <w:p>
      <w:pPr>
        <w:pStyle w:val="65"/>
        <w:spacing w:line="360" w:lineRule="auto"/>
        <w:ind w:firstLine="480"/>
        <w:rPr>
          <w:rFonts w:eastAsia="Times New Roman"/>
          <w:kern w:val="0"/>
          <w:sz w:val="24"/>
          <w:szCs w:val="24"/>
        </w:rPr>
      </w:pPr>
      <w:r>
        <w:rPr>
          <w:rFonts w:ascii="宋体" w:hAnsi="宋体" w:cs="宋体"/>
          <w:kern w:val="0"/>
          <w:sz w:val="24"/>
          <w:szCs w:val="24"/>
        </w:rPr>
        <w:t>如果募集期限届满，未满足基金备案条件，基金管理人应当承担下列责任：</w:t>
      </w:r>
    </w:p>
    <w:p>
      <w:pPr>
        <w:pStyle w:val="65"/>
        <w:spacing w:line="360" w:lineRule="auto"/>
        <w:ind w:firstLine="480"/>
        <w:rPr>
          <w:rFonts w:eastAsia="Times New Roman"/>
          <w:kern w:val="0"/>
          <w:sz w:val="24"/>
          <w:szCs w:val="24"/>
        </w:rPr>
      </w:pPr>
      <w:r>
        <w:rPr>
          <w:rFonts w:ascii="宋体" w:hAnsi="宋体" w:cs="宋体"/>
          <w:kern w:val="0"/>
          <w:sz w:val="24"/>
          <w:szCs w:val="24"/>
        </w:rPr>
        <w:t>1、以其固有财产承担因募集行为而产生的债务和费用；</w:t>
      </w:r>
    </w:p>
    <w:p>
      <w:pPr>
        <w:pStyle w:val="65"/>
        <w:spacing w:line="360" w:lineRule="auto"/>
        <w:ind w:firstLine="480"/>
        <w:rPr>
          <w:rFonts w:eastAsia="Times New Roman"/>
          <w:kern w:val="0"/>
          <w:sz w:val="24"/>
          <w:szCs w:val="24"/>
        </w:rPr>
      </w:pPr>
      <w:r>
        <w:rPr>
          <w:rFonts w:ascii="宋体" w:hAnsi="宋体" w:cs="宋体"/>
          <w:kern w:val="0"/>
          <w:sz w:val="24"/>
          <w:szCs w:val="24"/>
        </w:rPr>
        <w:t>2、在基金募集期限届满后30日内返还投资者已缴纳的款项，并加计银行同期活期存款利息；</w:t>
      </w:r>
    </w:p>
    <w:p>
      <w:pPr>
        <w:pStyle w:val="65"/>
        <w:spacing w:line="360" w:lineRule="auto"/>
        <w:ind w:firstLine="480"/>
        <w:rPr>
          <w:rFonts w:eastAsia="Times New Roman"/>
          <w:kern w:val="0"/>
          <w:sz w:val="24"/>
          <w:szCs w:val="24"/>
        </w:rPr>
      </w:pPr>
      <w:r>
        <w:rPr>
          <w:rFonts w:ascii="宋体" w:hAnsi="宋体" w:cs="宋体"/>
          <w:kern w:val="0"/>
          <w:sz w:val="24"/>
          <w:szCs w:val="24"/>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pPr>
        <w:pStyle w:val="65"/>
        <w:spacing w:line="360" w:lineRule="auto"/>
        <w:ind w:firstLine="480"/>
        <w:rPr>
          <w:rFonts w:eastAsia="Times New Roman"/>
          <w:kern w:val="0"/>
          <w:sz w:val="24"/>
          <w:szCs w:val="24"/>
        </w:rPr>
      </w:pPr>
      <w:r>
        <w:rPr>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pPr>
        <w:pStyle w:val="65"/>
        <w:spacing w:line="360" w:lineRule="auto"/>
        <w:ind w:firstLine="480"/>
        <w:rPr>
          <w:rFonts w:eastAsia="Times New Roman"/>
          <w:kern w:val="0"/>
          <w:sz w:val="24"/>
          <w:szCs w:val="24"/>
        </w:rPr>
      </w:pPr>
      <w:r>
        <w:rPr>
          <w:rFonts w:ascii="宋体" w:hAnsi="宋体" w:cs="宋体"/>
          <w:kern w:val="0"/>
          <w:sz w:val="24"/>
          <w:szCs w:val="24"/>
        </w:rPr>
        <w:t>三、基金存续期内的基金份额持有人数量和资产规模</w:t>
      </w:r>
    </w:p>
    <w:p>
      <w:pPr>
        <w:pStyle w:val="65"/>
        <w:spacing w:line="360" w:lineRule="auto"/>
        <w:ind w:firstLine="480"/>
        <w:rPr>
          <w:rFonts w:eastAsia="Times New Roman"/>
          <w:kern w:val="0"/>
          <w:sz w:val="24"/>
          <w:szCs w:val="24"/>
        </w:rPr>
      </w:pPr>
      <w:r>
        <w:rPr>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pStyle w:val="65"/>
        <w:spacing w:line="360" w:lineRule="auto"/>
        <w:ind w:firstLine="480"/>
        <w:rPr>
          <w:rFonts w:eastAsia="Times New Roman"/>
          <w:kern w:val="0"/>
          <w:sz w:val="24"/>
          <w:szCs w:val="24"/>
        </w:rPr>
      </w:pPr>
      <w:r>
        <w:rPr>
          <w:rFonts w:ascii="宋体" w:hAnsi="宋体" w:cs="宋体"/>
          <w:kern w:val="0"/>
          <w:sz w:val="24"/>
          <w:szCs w:val="24"/>
        </w:rPr>
        <w:t>法律法规或中国证监会另有规定时，从其规定。</w:t>
      </w:r>
      <w:r>
        <w:rPr>
          <w:rFonts w:ascii="宋体" w:hAnsi="宋体" w:cs="宋体"/>
          <w:kern w:val="0"/>
          <w:sz w:val="24"/>
          <w:szCs w:val="24"/>
        </w:rPr>
        <w:br w:type="page"/>
      </w:r>
    </w:p>
    <w:p>
      <w:pPr>
        <w:pStyle w:val="2"/>
        <w:spacing w:before="0" w:after="0"/>
        <w:jc w:val="center"/>
        <w:rPr>
          <w:rFonts w:ascii="Times New Roman"/>
          <w:color w:val="auto"/>
          <w:sz w:val="30"/>
        </w:rPr>
      </w:pPr>
      <w:bookmarkStart w:id="44" w:name="_Toc256000005"/>
      <w:r>
        <w:rPr>
          <w:rFonts w:ascii="Times New Roman"/>
          <w:color w:val="auto"/>
          <w:sz w:val="30"/>
        </w:rPr>
        <w:t>第六部分  基金份额折算与变更登记</w:t>
      </w:r>
      <w:bookmarkEnd w:id="44"/>
    </w:p>
    <w:p/>
    <w:p>
      <w:pPr>
        <w:pStyle w:val="65"/>
        <w:spacing w:line="360" w:lineRule="auto"/>
        <w:ind w:firstLine="480"/>
        <w:rPr>
          <w:rFonts w:eastAsia="Times New Roman"/>
          <w:kern w:val="0"/>
          <w:sz w:val="24"/>
          <w:szCs w:val="24"/>
        </w:rPr>
      </w:pPr>
      <w:r>
        <w:rPr>
          <w:rFonts w:ascii="宋体" w:hAnsi="宋体" w:cs="宋体"/>
          <w:kern w:val="0"/>
          <w:sz w:val="24"/>
          <w:szCs w:val="24"/>
        </w:rPr>
        <w:t>基金合同生效后，为了更好的跟踪标的指数和提高交易便利，本基金可以进行份额折算。</w:t>
      </w:r>
    </w:p>
    <w:p>
      <w:pPr>
        <w:pStyle w:val="65"/>
        <w:spacing w:line="360" w:lineRule="auto"/>
        <w:ind w:firstLine="480"/>
        <w:rPr>
          <w:rFonts w:eastAsia="Times New Roman"/>
          <w:kern w:val="0"/>
          <w:sz w:val="24"/>
          <w:szCs w:val="24"/>
        </w:rPr>
      </w:pPr>
      <w:r>
        <w:rPr>
          <w:rFonts w:ascii="宋体" w:hAnsi="宋体" w:cs="宋体"/>
          <w:kern w:val="0"/>
          <w:sz w:val="24"/>
          <w:szCs w:val="24"/>
        </w:rPr>
        <w:t>一、基金份额折算的时间</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基金管理人应事先确定基金份额折算日，并依照《信息披露办法》的有关规定提前公告。</w:t>
      </w:r>
    </w:p>
    <w:p>
      <w:pPr>
        <w:pStyle w:val="65"/>
        <w:spacing w:line="360" w:lineRule="auto"/>
        <w:ind w:firstLine="480"/>
        <w:rPr>
          <w:rFonts w:eastAsia="Times New Roman"/>
          <w:kern w:val="0"/>
          <w:sz w:val="24"/>
          <w:szCs w:val="24"/>
        </w:rPr>
      </w:pPr>
      <w:r>
        <w:rPr>
          <w:rFonts w:ascii="宋体" w:hAnsi="宋体" w:cs="宋体"/>
          <w:kern w:val="0"/>
          <w:sz w:val="24"/>
          <w:szCs w:val="24"/>
        </w:rPr>
        <w:t>二、基金份额折算的原则</w:t>
      </w:r>
    </w:p>
    <w:p>
      <w:pPr>
        <w:pStyle w:val="65"/>
        <w:spacing w:line="360" w:lineRule="auto"/>
        <w:ind w:firstLine="480"/>
        <w:rPr>
          <w:rFonts w:eastAsia="Times New Roman"/>
          <w:kern w:val="0"/>
          <w:sz w:val="24"/>
          <w:szCs w:val="24"/>
        </w:rPr>
      </w:pPr>
      <w:r>
        <w:rPr>
          <w:rFonts w:ascii="宋体" w:hAnsi="宋体" w:cs="宋体"/>
          <w:kern w:val="0"/>
          <w:sz w:val="24"/>
          <w:szCs w:val="24"/>
        </w:rPr>
        <w:t>基金份额折算由基金管理人向登记机构申请办理，并由登记机构进行基金份额的变更登记。</w:t>
      </w:r>
    </w:p>
    <w:p>
      <w:pPr>
        <w:pStyle w:val="65"/>
        <w:spacing w:line="360" w:lineRule="auto"/>
        <w:ind w:firstLine="480"/>
        <w:rPr>
          <w:rFonts w:eastAsia="Times New Roman"/>
          <w:kern w:val="0"/>
          <w:sz w:val="24"/>
          <w:szCs w:val="24"/>
        </w:rPr>
      </w:pPr>
      <w:r>
        <w:rPr>
          <w:rFonts w:ascii="宋体" w:hAnsi="宋体" w:cs="宋体"/>
          <w:kern w:val="0"/>
          <w:sz w:val="24"/>
          <w:szCs w:val="24"/>
        </w:rPr>
        <w:t>基金份额折算后，本基金的基金份额总额与基金份额持有人持有的基金份额数额将发生调整，但调整后的基金份额持有人持有的基金份额所代表的基金资产占基金总资产的比例不发生变化。除因尾数处理而产生的损益外，基金份额折算对基金份额持有人的权益无实质性影响，无需召开基金份额持有人大会审议。基金份额折算后，基金份额持有人将按照折算后的基金份额享有权利并承担义务。</w:t>
      </w:r>
    </w:p>
    <w:p>
      <w:pPr>
        <w:pStyle w:val="65"/>
        <w:spacing w:line="360" w:lineRule="auto"/>
        <w:ind w:firstLine="480"/>
        <w:rPr>
          <w:rFonts w:eastAsia="Times New Roman"/>
          <w:kern w:val="0"/>
          <w:sz w:val="24"/>
          <w:szCs w:val="24"/>
        </w:rPr>
      </w:pPr>
      <w:r>
        <w:rPr>
          <w:rFonts w:ascii="宋体" w:hAnsi="宋体" w:cs="宋体"/>
          <w:kern w:val="0"/>
          <w:sz w:val="24"/>
          <w:szCs w:val="24"/>
        </w:rPr>
        <w:t>如果基金份额折算过程中发生不可抗力，基金管理人可延迟办理基金份额折算。</w:t>
      </w:r>
    </w:p>
    <w:p>
      <w:pPr>
        <w:pStyle w:val="65"/>
        <w:spacing w:line="360" w:lineRule="auto"/>
        <w:ind w:firstLine="480"/>
        <w:rPr>
          <w:rFonts w:eastAsia="Times New Roman"/>
          <w:kern w:val="0"/>
          <w:sz w:val="24"/>
          <w:szCs w:val="24"/>
        </w:rPr>
      </w:pPr>
      <w:r>
        <w:rPr>
          <w:rFonts w:ascii="宋体" w:hAnsi="宋体" w:cs="宋体"/>
          <w:kern w:val="0"/>
          <w:sz w:val="24"/>
          <w:szCs w:val="24"/>
        </w:rPr>
        <w:t>三、基金份额折算的方法</w:t>
      </w:r>
    </w:p>
    <w:p>
      <w:pPr>
        <w:pStyle w:val="65"/>
        <w:spacing w:line="360" w:lineRule="auto"/>
        <w:ind w:firstLine="480"/>
        <w:rPr>
          <w:rFonts w:eastAsia="Times New Roman"/>
          <w:kern w:val="0"/>
          <w:sz w:val="24"/>
          <w:szCs w:val="24"/>
        </w:rPr>
      </w:pPr>
      <w:r>
        <w:rPr>
          <w:rFonts w:ascii="宋体" w:hAnsi="宋体" w:cs="宋体"/>
          <w:kern w:val="0"/>
          <w:sz w:val="24"/>
          <w:szCs w:val="24"/>
        </w:rPr>
        <w:t>基金份额折算的具体方法在份额折算公告中列示。</w:t>
      </w:r>
    </w:p>
    <w:p>
      <w:pPr>
        <w:pStyle w:val="65"/>
        <w:spacing w:line="360" w:lineRule="auto"/>
        <w:ind w:firstLine="480"/>
        <w:rPr>
          <w:rFonts w:eastAsia="Times New Roman"/>
          <w:kern w:val="0"/>
          <w:sz w:val="24"/>
          <w:szCs w:val="24"/>
        </w:rPr>
      </w:pPr>
      <w:r>
        <w:rPr>
          <w:rFonts w:ascii="宋体" w:hAnsi="宋体" w:cs="宋体"/>
          <w:kern w:val="0"/>
          <w:sz w:val="24"/>
          <w:szCs w:val="24"/>
        </w:rPr>
        <w:t>四、如未来本基金增加基金份额的类别，基金管理人在实施份额折算时，可对全部份额类别进行折算，也可根据需要只对其中部分类别的份额进行折算。如本基金对部分份额类别进行折算，对于涉及投票权、提议召集权、召集权、计算到会或出具表决意见的持有人所代表的基金份额数量、表决权、基金财产清算等需要统计基金份额持有人所持份额及其占总份额比例时，每一份未折算的基金份额与固定比例的已折算基金份额代表同等权利，其中固定比例指折算比例。</w:t>
      </w:r>
      <w:r>
        <w:rPr>
          <w:rFonts w:ascii="宋体" w:hAnsi="宋体" w:cs="宋体"/>
          <w:kern w:val="0"/>
          <w:sz w:val="24"/>
          <w:szCs w:val="24"/>
        </w:rPr>
        <w:br w:type="page"/>
      </w:r>
    </w:p>
    <w:p>
      <w:pPr>
        <w:pStyle w:val="2"/>
        <w:spacing w:before="0" w:after="0"/>
        <w:jc w:val="center"/>
        <w:rPr>
          <w:rFonts w:ascii="Times New Roman"/>
          <w:color w:val="auto"/>
          <w:sz w:val="30"/>
        </w:rPr>
      </w:pPr>
      <w:bookmarkStart w:id="45" w:name="_Toc256000006"/>
      <w:r>
        <w:rPr>
          <w:rFonts w:ascii="Times New Roman"/>
          <w:color w:val="auto"/>
          <w:sz w:val="30"/>
        </w:rPr>
        <w:t>第七部分  基金份额的上市交易</w:t>
      </w:r>
      <w:bookmarkEnd w:id="45"/>
    </w:p>
    <w:p/>
    <w:p>
      <w:pPr>
        <w:pStyle w:val="70"/>
        <w:spacing w:line="360" w:lineRule="auto"/>
        <w:ind w:firstLine="480"/>
        <w:rPr>
          <w:rFonts w:ascii="宋体" w:hAnsi="宋体" w:cs="宋体"/>
          <w:kern w:val="0"/>
          <w:sz w:val="24"/>
          <w:szCs w:val="24"/>
        </w:rPr>
      </w:pPr>
    </w:p>
    <w:p>
      <w:pPr>
        <w:pStyle w:val="65"/>
        <w:spacing w:line="360" w:lineRule="auto"/>
        <w:ind w:firstLine="480"/>
        <w:rPr>
          <w:rFonts w:ascii="宋体" w:hAnsi="宋体" w:cs="宋体"/>
          <w:kern w:val="0"/>
          <w:sz w:val="24"/>
          <w:szCs w:val="24"/>
        </w:rPr>
      </w:pPr>
      <w:r>
        <w:rPr>
          <w:rFonts w:ascii="宋体" w:hAnsi="宋体" w:cs="宋体"/>
          <w:kern w:val="0"/>
          <w:sz w:val="24"/>
          <w:szCs w:val="24"/>
        </w:rPr>
        <w:t>一、基金份额上市</w:t>
      </w:r>
    </w:p>
    <w:p>
      <w:pPr>
        <w:pStyle w:val="65"/>
        <w:spacing w:line="360" w:lineRule="auto"/>
        <w:ind w:firstLine="480"/>
        <w:rPr>
          <w:rFonts w:ascii="宋体" w:hAnsi="宋体" w:cs="宋体"/>
          <w:kern w:val="0"/>
          <w:sz w:val="24"/>
          <w:szCs w:val="24"/>
        </w:rPr>
      </w:pPr>
      <w:r>
        <w:rPr>
          <w:rFonts w:ascii="宋体" w:hAnsi="宋体" w:cs="宋体"/>
          <w:kern w:val="0"/>
          <w:sz w:val="24"/>
          <w:szCs w:val="24"/>
        </w:rPr>
        <w:t>基金合同生效后，具备下列条件的，基金管理人可依据《深圳证券交易所证券投资基金上市规则》，向深圳证券交易所申请基金份额上市：</w:t>
      </w:r>
    </w:p>
    <w:p>
      <w:pPr>
        <w:pStyle w:val="65"/>
        <w:spacing w:line="360" w:lineRule="auto"/>
        <w:ind w:firstLine="480"/>
        <w:rPr>
          <w:rFonts w:ascii="宋体" w:hAnsi="宋体" w:cs="宋体"/>
          <w:kern w:val="0"/>
          <w:sz w:val="24"/>
          <w:szCs w:val="24"/>
        </w:rPr>
      </w:pPr>
      <w:r>
        <w:rPr>
          <w:rFonts w:ascii="宋体" w:hAnsi="宋体" w:cs="宋体"/>
          <w:kern w:val="0"/>
          <w:sz w:val="24"/>
          <w:szCs w:val="24"/>
        </w:rPr>
        <w:t>1、基金场内募集金额（含募集的股票市值）不低于2亿元人民币；</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场内基金份额持有人人数不少于1,000人；</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法律法规及深圳证券交易所相关业务规则规定的其他条件。</w:t>
      </w:r>
    </w:p>
    <w:p>
      <w:pPr>
        <w:pStyle w:val="65"/>
        <w:spacing w:line="360" w:lineRule="auto"/>
        <w:ind w:firstLine="480"/>
        <w:rPr>
          <w:rFonts w:ascii="宋体" w:hAnsi="宋体" w:cs="宋体"/>
          <w:kern w:val="0"/>
          <w:sz w:val="24"/>
          <w:szCs w:val="24"/>
        </w:rPr>
      </w:pPr>
      <w:r>
        <w:rPr>
          <w:rFonts w:ascii="宋体" w:hAnsi="宋体" w:cs="宋体"/>
          <w:kern w:val="0"/>
          <w:sz w:val="24"/>
          <w:szCs w:val="24"/>
        </w:rPr>
        <w:t>基金获准在深圳证券交易所上市的，基金管理人应按照相关规定发布基金上市交易公告书。</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二、</w:t>
      </w:r>
      <w:r>
        <w:rPr>
          <w:rFonts w:ascii="宋体" w:hAnsi="宋体" w:cs="宋体"/>
          <w:kern w:val="0"/>
          <w:sz w:val="24"/>
          <w:szCs w:val="24"/>
        </w:rPr>
        <w:t>基金份额的上市交易</w:t>
      </w:r>
    </w:p>
    <w:p>
      <w:pPr>
        <w:pStyle w:val="65"/>
        <w:spacing w:line="360" w:lineRule="auto"/>
        <w:ind w:firstLine="480"/>
        <w:rPr>
          <w:rFonts w:ascii="宋体" w:hAnsi="宋体" w:cs="宋体"/>
          <w:kern w:val="0"/>
          <w:sz w:val="24"/>
          <w:szCs w:val="24"/>
        </w:rPr>
      </w:pPr>
      <w:r>
        <w:rPr>
          <w:rFonts w:ascii="宋体" w:hAnsi="宋体" w:cs="宋体"/>
          <w:kern w:val="0"/>
          <w:sz w:val="24"/>
          <w:szCs w:val="24"/>
        </w:rPr>
        <w:t>基金份额在深圳证券交易所的上市交易需遵照《深圳证券交易所交易规则》、《深圳证券交易所证券投资基金上市规则》、《深圳证券交易所证券投资基金交易和申购赎回实施细则》等有关规定。</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三、</w:t>
      </w:r>
      <w:r>
        <w:rPr>
          <w:rFonts w:ascii="宋体" w:hAnsi="宋体" w:cs="宋体"/>
          <w:kern w:val="0"/>
          <w:sz w:val="24"/>
          <w:szCs w:val="24"/>
        </w:rPr>
        <w:t>上市交易的停复牌、暂停上市、恢复上市和终止上市</w:t>
      </w:r>
    </w:p>
    <w:p>
      <w:pPr>
        <w:pStyle w:val="65"/>
        <w:spacing w:line="360" w:lineRule="auto"/>
        <w:ind w:firstLine="480"/>
        <w:rPr>
          <w:rFonts w:ascii="宋体" w:hAnsi="宋体" w:cs="宋体"/>
          <w:kern w:val="0"/>
          <w:sz w:val="24"/>
          <w:szCs w:val="24"/>
        </w:rPr>
      </w:pPr>
      <w:r>
        <w:rPr>
          <w:rFonts w:ascii="宋体" w:hAnsi="宋体" w:cs="宋体"/>
          <w:kern w:val="0"/>
          <w:sz w:val="24"/>
          <w:szCs w:val="24"/>
        </w:rPr>
        <w:t>上市基金份额的停复牌、暂停上市、恢复上市和终止上市按照《深圳证券交易所证券投资基金上市规则》的相关规定执行。</w:t>
      </w:r>
    </w:p>
    <w:p>
      <w:pPr>
        <w:pStyle w:val="65"/>
        <w:spacing w:line="360" w:lineRule="auto"/>
        <w:ind w:firstLine="480"/>
        <w:rPr>
          <w:rFonts w:ascii="宋体" w:hAnsi="宋体" w:cs="宋体"/>
          <w:kern w:val="0"/>
          <w:sz w:val="24"/>
          <w:szCs w:val="24"/>
        </w:rPr>
      </w:pPr>
      <w:r>
        <w:rPr>
          <w:rFonts w:ascii="宋体" w:hAnsi="宋体" w:cs="宋体"/>
          <w:kern w:val="0"/>
          <w:sz w:val="24"/>
          <w:szCs w:val="24"/>
        </w:rPr>
        <w:t>当本基金发生深圳证券交易所相关规定所规定的因不再具备上市条件而应当终止上市的情形时，本基金可由交易型开放式指数证券投资基金变更为跟踪标的指数的非上市的开放式指数基金，而无需召开基金份额持有人大会审议。届时，基金管理人需制定基金终止上市后场内份额的处理规则、按照非上市的开放式指数基金调整相应的业务规则，并提前公告。</w:t>
      </w:r>
    </w:p>
    <w:p>
      <w:pPr>
        <w:pStyle w:val="65"/>
        <w:spacing w:line="360" w:lineRule="auto"/>
        <w:ind w:firstLine="480"/>
        <w:rPr>
          <w:rFonts w:ascii="宋体" w:hAnsi="宋体" w:cs="宋体"/>
          <w:kern w:val="0"/>
          <w:sz w:val="24"/>
          <w:szCs w:val="24"/>
        </w:rPr>
      </w:pPr>
      <w:r>
        <w:rPr>
          <w:rFonts w:ascii="宋体" w:hAnsi="宋体" w:cs="宋体"/>
          <w:kern w:val="0"/>
          <w:sz w:val="24"/>
          <w:szCs w:val="24"/>
        </w:rPr>
        <w:t>若届时本基金管理人已有以该指数作为标的指数的指数基金，则基金管理人将本着维护基金份额持有人合法权益的原则，履行适当的程序后与该指数基金合并或者选取其他合适的指数作为标的指数。</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四、</w:t>
      </w:r>
      <w:r>
        <w:rPr>
          <w:rFonts w:ascii="宋体" w:hAnsi="宋体" w:cs="宋体"/>
          <w:kern w:val="0"/>
          <w:sz w:val="24"/>
          <w:szCs w:val="24"/>
        </w:rPr>
        <w:t>基金份额参考净值（IOPV）的计算与公告详见本基金《招募说明书》。</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五、</w:t>
      </w:r>
      <w:r>
        <w:rPr>
          <w:rFonts w:ascii="宋体" w:hAnsi="宋体" w:cs="宋体"/>
          <w:kern w:val="0"/>
          <w:sz w:val="24"/>
          <w:szCs w:val="24"/>
        </w:rPr>
        <w:t>相关法律法规、中国证监会及深圳证券交易所对基金上市交易的规则等相关规定内容进行调整的，基金合同相应予以修改，且此项修改无须召开基金份额持有人大会审议。</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六、</w:t>
      </w:r>
      <w:r>
        <w:rPr>
          <w:rFonts w:ascii="宋体" w:hAnsi="宋体" w:cs="宋体"/>
          <w:kern w:val="0"/>
          <w:sz w:val="24"/>
          <w:szCs w:val="24"/>
        </w:rPr>
        <w:t>若深圳证券交易所、中国证券登记结算有限责任公司增加了基金上市交易的新功能，本基金管理人可以在履行适当的程序后增加相应功能。</w:t>
      </w:r>
    </w:p>
    <w:p>
      <w:pPr>
        <w:pStyle w:val="65"/>
        <w:spacing w:line="360" w:lineRule="auto"/>
        <w:ind w:firstLine="480"/>
        <w:rPr>
          <w:rFonts w:ascii="宋体" w:hAnsi="宋体" w:cs="宋体"/>
          <w:kern w:val="0"/>
          <w:sz w:val="24"/>
          <w:szCs w:val="24"/>
        </w:rPr>
      </w:pPr>
      <w:r>
        <w:rPr>
          <w:rStyle w:val="66"/>
          <w:rFonts w:ascii="宋体" w:hAnsi="宋体" w:cs="宋体"/>
          <w:kern w:val="0"/>
          <w:sz w:val="24"/>
          <w:szCs w:val="24"/>
        </w:rPr>
        <w:t>七、</w:t>
      </w:r>
      <w:r>
        <w:rPr>
          <w:rFonts w:ascii="宋体" w:hAnsi="宋体" w:cs="宋体"/>
          <w:kern w:val="0"/>
          <w:sz w:val="24"/>
          <w:szCs w:val="24"/>
        </w:rPr>
        <w:t>在不违反法律法规的规定及对基金份额持有人利益无实质性不利影响的前提下，本基金可以申请在包括境外交易所在内的其他交易场所上市交易。</w:t>
      </w:r>
      <w:r>
        <w:rPr>
          <w:rFonts w:ascii="宋体" w:hAnsi="宋体" w:cs="宋体"/>
          <w:kern w:val="0"/>
          <w:sz w:val="24"/>
          <w:szCs w:val="24"/>
        </w:rPr>
        <w:br w:type="page"/>
      </w:r>
    </w:p>
    <w:p>
      <w:pPr>
        <w:pStyle w:val="2"/>
        <w:spacing w:before="0" w:after="0"/>
        <w:jc w:val="center"/>
        <w:rPr>
          <w:rFonts w:ascii="Times New Roman"/>
          <w:color w:val="auto"/>
          <w:sz w:val="30"/>
        </w:rPr>
      </w:pPr>
      <w:bookmarkStart w:id="46" w:name="_Toc256000007"/>
      <w:r>
        <w:rPr>
          <w:rFonts w:ascii="Times New Roman"/>
          <w:color w:val="auto"/>
          <w:sz w:val="30"/>
        </w:rPr>
        <w:t>第八部分  基金份额的申购与赎回</w:t>
      </w:r>
      <w:bookmarkEnd w:id="46"/>
    </w:p>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目前仅采取深圳证券交易所跨市场股票ETF场内申赎模式，未来基金管理人可根据基金发展需要，开通其他深圳证券交易所、登记机构允许的申赎模式，届时将发布公告予以披露并对本基金的招募说明书予以更新，无须召开基金份额持有人大会审议。</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一、申购和赎回场所</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投资人应当在申购赎回代理券商办理基金份额申购、赎回业务的营业场所或按申购赎回代理券商提供的其他方式办理基金的份额申购和赎回。</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基金管理人在开始办理申购、赎回业务前公告申购赎回代理券商的名单，并可根据情况变更或增减基金申购赎回代理券商，并在基金管理人网站公示。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二、申购和赎回的开放日及时间</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1、开放日及开放时间</w:t>
      </w:r>
    </w:p>
    <w:p>
      <w:pPr>
        <w:pStyle w:val="65"/>
        <w:spacing w:line="360" w:lineRule="auto"/>
        <w:ind w:firstLine="480"/>
        <w:rPr>
          <w:rFonts w:eastAsia="Times New Roman"/>
          <w:kern w:val="0"/>
          <w:sz w:val="24"/>
          <w:szCs w:val="24"/>
        </w:rPr>
      </w:pPr>
      <w:r>
        <w:rPr>
          <w:rStyle w:val="66"/>
          <w:rFonts w:ascii="宋体" w:hAnsi="宋体" w:cs="宋体"/>
          <w:kern w:val="0"/>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pPr>
        <w:pStyle w:val="65"/>
        <w:spacing w:line="360" w:lineRule="auto"/>
        <w:ind w:firstLine="480"/>
        <w:rPr>
          <w:rFonts w:eastAsia="Times New Roman"/>
          <w:kern w:val="0"/>
          <w:sz w:val="24"/>
          <w:szCs w:val="24"/>
        </w:rPr>
      </w:pPr>
      <w:r>
        <w:rPr>
          <w:rStyle w:val="66"/>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2、申购、赎回开始日及业务办理时间</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基金管理人可根据实际情况依法决定本基金开始办理申购的具体日期，具体业务办理时间在开放申购业务的公告中规定。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基金管理人自基金合同生效之日起不超过3个月开始办理赎回，具体业务办理时间在开放赎回业务的公告中规定。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本基金可在基金上市交易之前开始办理申购、赎回，但在基金申请上市期间，可暂停办理申购、赎回。</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本基金在基金合同生效后、开放日常申购之前，可向本基金联接基金开通特殊申购，申购价格以特殊申购日的基金份额净值为基准计算，按金额申购，不收取与申购相关的费用和成本。</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三、申购与赎回的原则</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1、本基金采用份额申购和份额赎回的方式，即申购和赎回均以份额申请；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2、本基金申购对价、赎回对价包括组合证券、现金替代、现金差额及其他对价；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3、申购、赎回申请提交后不得撤销；</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4、申购、赎回应遵守深圳证券交易所和中国证券登记结算有限责任公司的相关业务规则和规定；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5、办理申购、赎回业务时，应当遵循基金份额持有人利益优先原则，确保投资者的合法权益不受损害并得到公平对待。</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四、申购与赎回的程序</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1、申购和赎回的申请方式</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投资人必须根据申购赎回代理券商或基金管理人规定的程序，在开放日的具体业务办理时间内提出申购或赎回的申请。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投资人在提交申购申请时须按申购赎回清单的规定备足申购对价，投资人在提交赎回申请时须持有足够的基金份额余额和现金，否则所提交的申购、赎回申请失败。</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2、申购和赎回申请的确认</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投资人申购、赎回申请的确认根据登记机构的相关规定办理，具体参见本基金招募说明书。如投资人未能提供符合要求的申购对价，则申购申请失败。如基金份额持有人持有的符合要求的基金份额不足或未能根据要求准备足额的现金，或基金投资组合内不具备足额的符合要求的赎回对价，则赎回申请失败。</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销售机构对申购、赎回申请的受理并不代表该申请一定成功，而仅代表销售机构确实接收到该申请。申购、赎回的确认以登记机构的确认结果为准。对于申购、赎回申请的确认情况，投资人应及时查询并妥善行使合法权利，否则，由此产生的任何损失由投资者自行承担。</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3、申购和赎回的清算交收与登记</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本基金申购赎回过程中涉及的基金份额、组合证券、现金替代、现金差额及其他对价的清算交收适用深圳证券交易所、中国证券登记结算有限责任公司发布的相关业务规则和参与各方相关协议的有关规定。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具体清算交收和登记办理时间将在招募说明书中载明。</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投资者应按照本基金合同的约定和销售机构的规定按时足额支付应付的现金差额和现金替代补款。因投资者原因导致现金差额或现金替代补款未能按时足额交收的，基金管理人有权为基金的利益向该投资者追偿，并要求其承担由此导致的其他基金份额持有人或基金资产的损失。</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如果登记机构和基金管理人在清算交收时发现不能正常履约的情形，则依据深圳证券交易所、中国证券登记结算有限责任公司发布的相关业务规则和参与各方相关协议的有关规定进行处理。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和登记机构可在法律法规允许的范围内，在不影响基金份额持有人实质性利益的前提下，对上述申购赎回的程序以及清算交收和登记的办理时间、方式、处理规则等进行调整，并在开始实施前按照《信息披露办法》的有关规定在规定媒介上予以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五、申购和赎回的数量限制</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1、投资者参与本基金的日常申购、赎回，需按最小申购、赎回单位的整数倍提交申请。最小申购、赎回单位由基金管理人确定和调整，具体规定请参见招募说明书或相关公告。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基金管理人可以规定本基金当日申购及赎回的上限。基金管理人可以规定投资人每个基金交易账户的最低基金份额余额。基金管理人可以规定单个投资人累计持有的基金份额上限。具体规定请参见申购赎回清单或相关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当接受申购申请对存量基金份额持有人利益构成潜在重大不利影响时，基金管理人应当采取设定单一投资者申购份额上限、基金规模上限、基金单日申购份额或净申购比例上限、拒绝大额申购、暂停基金申购等措施，切实保护存量基金份额持有人的合法权益。基金管理人基于投资运作与风险控制的需要，可采取上述措施对基金规模予以控制。具体见基金管理人相关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4、基金管理人可在法律法规允许的情况下，调整上述规定申购和赎回数量限制或新增基金规模控制措施。基金管理人必须在调整实施前依照《信息披露办法》的有关规定在规定媒介上公告。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六、申购和赎回的对价、费用及其用途</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本基金份额净值的计算，保留到小数点后4位，小数点后第5位四舍五入，由此产生的收益或损失由基金财产承担。T日的基金份额净值在当天收市后计算，并根据基金合同的约定公告。遇特殊情况，经履行适当程序，可以适当延迟计算或公告。</w:t>
      </w:r>
    </w:p>
    <w:p>
      <w:pPr>
        <w:pStyle w:val="65"/>
        <w:spacing w:line="360" w:lineRule="auto"/>
        <w:ind w:firstLine="480"/>
        <w:rPr>
          <w:rStyle w:val="66"/>
          <w:rFonts w:ascii="宋体" w:hAnsi="宋体" w:cs="宋体"/>
          <w:kern w:val="0"/>
          <w:sz w:val="24"/>
          <w:szCs w:val="24"/>
        </w:rPr>
      </w:pPr>
      <w:r>
        <w:rPr>
          <w:rStyle w:val="69"/>
          <w:rFonts w:ascii="宋体" w:hAnsi="宋体" w:cs="宋体"/>
          <w:kern w:val="0"/>
          <w:sz w:val="24"/>
          <w:szCs w:val="24"/>
        </w:rPr>
        <w:t>2、</w:t>
      </w:r>
      <w:r>
        <w:rPr>
          <w:rStyle w:val="66"/>
          <w:rFonts w:ascii="宋体" w:hAnsi="宋体" w:cs="宋体"/>
          <w:kern w:val="0"/>
          <w:sz w:val="24"/>
          <w:szCs w:val="24"/>
        </w:rPr>
        <w:t>申购对价、赎回对价根据申购赎回清单和投资人申购、赎回的基金份额数额确定。</w:t>
      </w:r>
    </w:p>
    <w:p>
      <w:pPr>
        <w:pStyle w:val="65"/>
        <w:spacing w:line="360" w:lineRule="auto"/>
        <w:ind w:firstLine="480"/>
        <w:rPr>
          <w:rFonts w:eastAsia="Times New Roman"/>
          <w:kern w:val="0"/>
          <w:sz w:val="24"/>
          <w:szCs w:val="24"/>
        </w:rPr>
      </w:pPr>
      <w:r>
        <w:rPr>
          <w:rStyle w:val="66"/>
          <w:rFonts w:ascii="宋体" w:hAnsi="宋体" w:cs="宋体"/>
          <w:kern w:val="0"/>
          <w:sz w:val="24"/>
          <w:szCs w:val="24"/>
        </w:rPr>
        <w:t>申购对价是指投资人申购时应交付的组合证券、现金替代、现金差额及其他对价。赎回对价是指投资人赎回时，基金管理人应交付给投资人的组合证券、现金替代、现金差额及其他对价。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3、申购赎回清单由基金管理人编制。T日的申购赎回清单在当日深圳证券交易所开市前公告。申购赎回清单的内容与格式详见《招募说明书》。</w:t>
      </w:r>
    </w:p>
    <w:p>
      <w:pPr>
        <w:pStyle w:val="65"/>
        <w:spacing w:line="360" w:lineRule="auto"/>
        <w:ind w:firstLine="480"/>
        <w:rPr>
          <w:rFonts w:eastAsia="Times New Roman"/>
          <w:kern w:val="0"/>
          <w:sz w:val="24"/>
          <w:szCs w:val="24"/>
        </w:rPr>
      </w:pPr>
      <w:r>
        <w:rPr>
          <w:rStyle w:val="69"/>
          <w:rFonts w:ascii="宋体" w:hAnsi="宋体" w:cs="宋体"/>
          <w:kern w:val="0"/>
          <w:sz w:val="24"/>
          <w:szCs w:val="24"/>
        </w:rPr>
        <w:t>4、</w:t>
      </w:r>
      <w:r>
        <w:rPr>
          <w:rStyle w:val="68"/>
          <w:rFonts w:ascii="宋体" w:hAnsi="宋体" w:cs="宋体"/>
          <w:kern w:val="0"/>
          <w:sz w:val="24"/>
          <w:szCs w:val="24"/>
        </w:rPr>
        <w:t>投资者在申购或赎回时，申购赎回代理券商可按照一定标准收取佣金，其中包含证券交易所、登记机构等收取的相关费用，具体规定详见招募说明书或相关公告。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基金管理人可以在不违反相关法律法规且不影响基金份额持有人实质性利益的情况下对基金份额净值、申购赎回清单计算和公告时间进行调整并提前公告。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七、拒绝或暂停申购的情形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发生下列情况时，基金管理人可拒绝或暂停接受投资人的申购申请：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1、因不可抗力导致基金无法正常运作或者因不可抗力导致基金管理人无法接受投资人的申购申请。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2、发生基金合同规定的暂停基金资产估值情况时，基金管理人可暂停接受投资人的申购申请。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3、因特殊情况（包括但不限于相关证券/期货交易所依法决定临时停市、交易时间非正常停市）导致基金管理人无法计算当日基金资产净值或无法进行证券交易。</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4、接受某笔或某些申购申请可能会影响或损害现有基金份额持有人利益时。</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5、基金管理人可根据市场情况在申购赎回清单中设置申购份额上限，如果一笔新的申购申请被确认成功，会使本基金当日申购份额超过申购赎回清单中规定的申购份额上限时，该笔申购申请将被拒绝。</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6、基金资产规模过大，使基金管理人无法找到合适的投资品种，或证券市场价格发生大幅波动，或其他可能对基金业绩产生负面影响，或发生其他损害现有基金份额持有人利益的情形。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8、基金管理人开市前因异常情况未能公布申购赎回清单、基金份额净值或者IOPV计算错误、申购赎回清单编制错误，或基金管理人在开市后发现基金份额参考净值计算错误。</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9、相关证券交易所、申购赎回代理券商、登记机构等因异常情况无法办理申购，或者因指数编制机构或指数发布机构、相关证券交易所等因异常情况使申购赎回清单无法编制或编制不当。本项所称异常情况指无法预见并不可控制的情形，包括但不限于系统故障、网络故障、通讯故障、电力故障、数据错误等。</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10、当一笔新的申购申请被确认成功，使本基金总规模超过基金管理人规定的本基金总规模上限时；或使本基金单日申购份额或净申购比例超过基金管理人规定的当日申购份额或净申购比例上限时；或该投资人累计持有的份额超过单个投资人累计持有的份额上限时；或该投资人当日申购份额超过单个投资人单日或单笔申购份额上限时。</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11、基金所投资的投资品种的估值出现重大转变时。</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12、法律法规、深圳证券交易所规定或中国证监会认定的其他情形。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发生除上述第4、5、10项以外暂停申购情形之一且基金管理人决定暂停接受投资人申购申请时，基金管理人应当根据有关规定在规定媒介上刊登暂停申购公告。如果投资人的申购申请被全部或部分拒绝的，被拒绝的申购对价将退还给投资人。在暂停申购的情况消除时，基金管理人应及时恢复申购业务的办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八、暂停赎回或延缓支付赎回对价的情形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发生下列情形时，基金管理人可暂停接受投资人的赎回申请或延缓支付赎回对价：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1、因不可抗力导致基金管理人不能受理或办理基金份额持有人的赎回申请。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2、发生基金合同规定的暂停基金资产估值情况时，基金管理人可暂停接受投资人的赎回申请或延缓支付赎回对价。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3、因特殊情况（包括但不限于相关证券/期货交易所依法决定临时停市、交易时间非正常停市）导致基金管理人无法计算当日基金资产净值或无法进行证券交易。</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4</w:t>
      </w:r>
      <w:r>
        <w:rPr>
          <w:rStyle w:val="66"/>
          <w:rFonts w:ascii="宋体" w:hAnsi="宋体" w:cs="宋体"/>
          <w:kern w:val="0"/>
          <w:sz w:val="24"/>
          <w:szCs w:val="24"/>
        </w:rPr>
        <w:t>、发生继续接受赎回申请将损害现有基金份额持有人利益的情形时，基金管理人可暂停接受基金份额持有人的赎回申请。</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5</w:t>
      </w:r>
      <w:r>
        <w:rPr>
          <w:rStyle w:val="66"/>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对价或暂停接受基金赎回申请。</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6</w:t>
      </w:r>
      <w:r>
        <w:rPr>
          <w:rStyle w:val="66"/>
          <w:rFonts w:ascii="宋体" w:hAnsi="宋体" w:cs="宋体"/>
          <w:kern w:val="0"/>
          <w:sz w:val="24"/>
          <w:szCs w:val="24"/>
        </w:rPr>
        <w:t>、基金管理人可根据市场情况在申购赎回清单中设置赎回份额上限，如果一笔新的赎回申请被确认成功，会使本基金当日赎回份额超过申购赎回清单中规定的赎回份额上限时，该笔赎回申请将被拒绝。</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7</w:t>
      </w:r>
      <w:r>
        <w:rPr>
          <w:rStyle w:val="66"/>
          <w:rFonts w:ascii="宋体" w:hAnsi="宋体" w:cs="宋体"/>
          <w:kern w:val="0"/>
          <w:sz w:val="24"/>
          <w:szCs w:val="24"/>
        </w:rPr>
        <w:t>、基金所投资的投资品种的估值出现重大转变时。</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8</w:t>
      </w:r>
      <w:r>
        <w:rPr>
          <w:rStyle w:val="66"/>
          <w:rFonts w:ascii="宋体" w:hAnsi="宋体" w:cs="宋体"/>
          <w:kern w:val="0"/>
          <w:sz w:val="24"/>
          <w:szCs w:val="24"/>
        </w:rPr>
        <w:t>、法律法规、深圳证券交易所规定或中国证监会认定的其他情形。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除发生上述第</w:t>
      </w:r>
      <w:r>
        <w:rPr>
          <w:rStyle w:val="66"/>
          <w:rFonts w:hint="eastAsia" w:ascii="宋体" w:hAnsi="宋体" w:cs="宋体"/>
          <w:kern w:val="0"/>
          <w:sz w:val="24"/>
          <w:szCs w:val="24"/>
        </w:rPr>
        <w:t>6</w:t>
      </w:r>
      <w:r>
        <w:rPr>
          <w:rStyle w:val="66"/>
          <w:rFonts w:ascii="宋体" w:hAnsi="宋体" w:cs="宋体"/>
          <w:kern w:val="0"/>
          <w:sz w:val="24"/>
          <w:szCs w:val="24"/>
        </w:rPr>
        <w:t>项以外的情形之一且基金管理人决定暂停赎回或延缓支付赎回对价时，基金管理人应根据有关规定在规定媒介上刊登暂停赎回公告并在当日报中国证监会备案。在暂停赎回的情况消除时，基金管理人应及时恢复赎回业务的办理并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九、暂停申购或赎回的公告和重新开放申购或赎回的公告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1、发生上述暂停申购或赎回情况的，基金管理人应在规定期限内在规定媒介上刊登暂停申购或赎回业务的公告。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十、</w:t>
      </w:r>
      <w:r>
        <w:rPr>
          <w:rFonts w:ascii="宋体" w:hAnsi="宋体" w:cs="宋体"/>
          <w:kern w:val="0"/>
          <w:sz w:val="24"/>
          <w:szCs w:val="24"/>
        </w:rPr>
        <w:t>基金份额的转让</w:t>
      </w:r>
    </w:p>
    <w:p>
      <w:pPr>
        <w:pStyle w:val="65"/>
        <w:spacing w:line="360" w:lineRule="auto"/>
        <w:ind w:firstLine="480"/>
        <w:rPr>
          <w:rFonts w:eastAsia="Times New Roman"/>
          <w:kern w:val="0"/>
          <w:sz w:val="24"/>
          <w:szCs w:val="24"/>
        </w:rPr>
      </w:pPr>
      <w:r>
        <w:rPr>
          <w:rFonts w:ascii="宋体" w:hAnsi="宋体" w:cs="宋体"/>
          <w:kern w:val="0"/>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十一、</w:t>
      </w:r>
      <w:r>
        <w:rPr>
          <w:rFonts w:ascii="宋体" w:hAnsi="宋体" w:cs="宋体"/>
          <w:kern w:val="0"/>
          <w:sz w:val="24"/>
          <w:szCs w:val="24"/>
        </w:rPr>
        <w:t>其他申购赎回方式</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ETF联接基金是指其绝大部分基金财产投资于跟踪同一标的指数的ETF，紧密跟踪标的指数表现，追求跟踪偏离度和跟踪误差最小化，采用开放式运作方式的基金。若本基金推出ETF联接基金，ETF联接基金可以在本基金基金合同生效后、开放日常申购之前特殊申购本基金基金份额，不收取</w:t>
      </w:r>
      <w:r>
        <w:rPr>
          <w:rStyle w:val="66"/>
          <w:rFonts w:ascii="宋体" w:hAnsi="宋体" w:cs="宋体"/>
          <w:kern w:val="0"/>
          <w:sz w:val="24"/>
          <w:szCs w:val="24"/>
        </w:rPr>
        <w:t>与</w:t>
      </w:r>
      <w:r>
        <w:rPr>
          <w:rFonts w:ascii="宋体" w:hAnsi="宋体" w:cs="宋体"/>
          <w:kern w:val="0"/>
          <w:sz w:val="24"/>
          <w:szCs w:val="24"/>
        </w:rPr>
        <w:t>申购</w:t>
      </w:r>
      <w:r>
        <w:rPr>
          <w:rStyle w:val="66"/>
          <w:rFonts w:ascii="宋体" w:hAnsi="宋体" w:cs="宋体"/>
          <w:kern w:val="0"/>
          <w:sz w:val="24"/>
          <w:szCs w:val="24"/>
        </w:rPr>
        <w:t>相关的</w:t>
      </w:r>
      <w:r>
        <w:rPr>
          <w:rFonts w:ascii="宋体" w:hAnsi="宋体" w:cs="宋体"/>
          <w:kern w:val="0"/>
          <w:sz w:val="24"/>
          <w:szCs w:val="24"/>
        </w:rPr>
        <w:t>费用</w:t>
      </w:r>
      <w:r>
        <w:rPr>
          <w:rStyle w:val="66"/>
          <w:rFonts w:ascii="宋体" w:hAnsi="宋体" w:cs="宋体"/>
          <w:kern w:val="0"/>
          <w:sz w:val="24"/>
          <w:szCs w:val="24"/>
        </w:rPr>
        <w:t>和成本</w:t>
      </w:r>
      <w:r>
        <w:rPr>
          <w:rFonts w:ascii="宋体" w:hAnsi="宋体" w:cs="宋体"/>
          <w:kern w:val="0"/>
          <w:sz w:val="24"/>
          <w:szCs w:val="24"/>
        </w:rPr>
        <w:t>。</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基金管理人可以在不违反法律法规规定且对基金份额持有人无实质性不利影响的前提下，调整基金申购赎回方式或申购赎回对价组成，并提前公告。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3、在条件允许时，基金管理人可开放集合申购，即允许多个或单个投资者集合其持有的组合证券或单券或现金，共同构成最小申购、赎回单位或其整数倍，进行申购。</w:t>
      </w:r>
    </w:p>
    <w:p>
      <w:pPr>
        <w:pStyle w:val="65"/>
        <w:spacing w:line="360" w:lineRule="auto"/>
        <w:ind w:firstLine="480"/>
        <w:rPr>
          <w:rFonts w:eastAsia="Times New Roman"/>
          <w:kern w:val="0"/>
          <w:sz w:val="24"/>
          <w:szCs w:val="24"/>
        </w:rPr>
      </w:pPr>
      <w:r>
        <w:rPr>
          <w:rFonts w:ascii="宋体" w:hAnsi="宋体" w:cs="宋体"/>
          <w:kern w:val="0"/>
          <w:sz w:val="24"/>
          <w:szCs w:val="24"/>
        </w:rPr>
        <w:t>条件允许时，在不违反法律法规规定且对基金份额持有人无实质性不利影响的前提下，基金管理人也可采取其他合理的申购、赎回方式，并于新的申购、赎回方式开始执行前予以公告。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基金管理人指定的代理机构可依据本基金合同开展其他服务，双方需签订书面委托代理协议。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十二、</w:t>
      </w:r>
      <w:r>
        <w:rPr>
          <w:rFonts w:ascii="宋体" w:hAnsi="宋体" w:cs="宋体"/>
          <w:kern w:val="0"/>
          <w:sz w:val="24"/>
          <w:szCs w:val="24"/>
        </w:rPr>
        <w:t>基金非交易过户等其他业务的办理</w:t>
      </w:r>
    </w:p>
    <w:p>
      <w:pPr>
        <w:pStyle w:val="65"/>
        <w:spacing w:line="360" w:lineRule="auto"/>
        <w:ind w:firstLine="480"/>
        <w:rPr>
          <w:rFonts w:eastAsia="Times New Roman"/>
          <w:kern w:val="0"/>
          <w:sz w:val="24"/>
          <w:szCs w:val="24"/>
        </w:rPr>
      </w:pPr>
      <w:r>
        <w:rPr>
          <w:rFonts w:ascii="宋体" w:hAnsi="宋体" w:cs="宋体"/>
          <w:kern w:val="0"/>
          <w:sz w:val="24"/>
          <w:szCs w:val="24"/>
        </w:rPr>
        <w:t>基金登记机构可根据相关法律法规及其业务规则，受理基金份额的非交易过户、质押、冻结与解冻等业务，并按照其规定收取一定的手续费用。</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十三、若深圳证券交易所和中国证券登记结算有限责任公司针对交易型开放式指数证券投资基金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的招募说明书及其更新中予以更新，无需召开基金份额持有人大会审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十四、</w:t>
      </w:r>
      <w:r>
        <w:rPr>
          <w:rFonts w:ascii="宋体" w:hAnsi="宋体" w:cs="宋体"/>
          <w:kern w:val="0"/>
          <w:sz w:val="24"/>
          <w:szCs w:val="24"/>
        </w:rPr>
        <w:t>基金管理人可在法律法规允许的范围内，在对基金份额持有人无实质性不利影响的前提下，根据市场情况对上述申购与赎回的安排进行补充和调整并提前公告。</w:t>
      </w:r>
      <w:r>
        <w:rPr>
          <w:rFonts w:ascii="宋体" w:hAnsi="宋体" w:cs="宋体"/>
          <w:kern w:val="0"/>
          <w:sz w:val="24"/>
          <w:szCs w:val="24"/>
        </w:rPr>
        <w:br w:type="page"/>
      </w:r>
    </w:p>
    <w:p>
      <w:pPr>
        <w:pStyle w:val="2"/>
        <w:spacing w:before="0" w:after="0"/>
        <w:jc w:val="center"/>
        <w:rPr>
          <w:rFonts w:ascii="Times New Roman"/>
          <w:color w:val="auto"/>
          <w:sz w:val="30"/>
        </w:rPr>
      </w:pPr>
      <w:bookmarkStart w:id="47" w:name="_Toc256000008"/>
      <w:r>
        <w:rPr>
          <w:rFonts w:ascii="Times New Roman"/>
          <w:color w:val="auto"/>
          <w:sz w:val="30"/>
        </w:rPr>
        <w:t>第九部分  基金合同当事人及权利义务</w:t>
      </w:r>
      <w:bookmarkEnd w:id="47"/>
    </w:p>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基金管理人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基金管理人简况</w:t>
      </w:r>
    </w:p>
    <w:p>
      <w:pPr>
        <w:pStyle w:val="65"/>
        <w:spacing w:line="360" w:lineRule="auto"/>
        <w:ind w:firstLine="480"/>
        <w:rPr>
          <w:rFonts w:eastAsia="Times New Roman"/>
          <w:kern w:val="0"/>
          <w:sz w:val="24"/>
          <w:szCs w:val="24"/>
        </w:rPr>
      </w:pPr>
      <w:r>
        <w:rPr>
          <w:rFonts w:ascii="宋体" w:hAnsi="宋体" w:cs="宋体"/>
          <w:kern w:val="0"/>
          <w:sz w:val="24"/>
          <w:szCs w:val="24"/>
        </w:rPr>
        <w:t>名称：汇添富基金管理股份有限公司</w:t>
      </w:r>
    </w:p>
    <w:p>
      <w:pPr>
        <w:pStyle w:val="65"/>
        <w:spacing w:line="360" w:lineRule="auto"/>
        <w:ind w:firstLine="480"/>
        <w:rPr>
          <w:rFonts w:eastAsia="Times New Roman"/>
          <w:kern w:val="0"/>
          <w:sz w:val="24"/>
          <w:szCs w:val="24"/>
        </w:rPr>
      </w:pPr>
      <w:r>
        <w:rPr>
          <w:rFonts w:ascii="宋体" w:hAnsi="宋体" w:cs="宋体"/>
          <w:kern w:val="0"/>
          <w:sz w:val="24"/>
          <w:szCs w:val="24"/>
        </w:rPr>
        <w:t>住所：上海市黄浦区外马路728号9楼</w:t>
      </w:r>
    </w:p>
    <w:p>
      <w:pPr>
        <w:pStyle w:val="65"/>
        <w:spacing w:line="360" w:lineRule="auto"/>
        <w:ind w:firstLine="480"/>
        <w:rPr>
          <w:rFonts w:eastAsia="Times New Roman"/>
          <w:kern w:val="0"/>
          <w:sz w:val="24"/>
          <w:szCs w:val="24"/>
        </w:rPr>
      </w:pPr>
      <w:r>
        <w:rPr>
          <w:rFonts w:ascii="宋体" w:hAnsi="宋体" w:cs="宋体"/>
          <w:kern w:val="0"/>
          <w:sz w:val="24"/>
          <w:szCs w:val="24"/>
        </w:rPr>
        <w:t>法定代表人：鲁伟铭</w:t>
      </w:r>
    </w:p>
    <w:p>
      <w:pPr>
        <w:pStyle w:val="65"/>
        <w:spacing w:line="360" w:lineRule="auto"/>
        <w:ind w:firstLine="480"/>
        <w:rPr>
          <w:rFonts w:eastAsia="Times New Roman"/>
          <w:kern w:val="0"/>
          <w:sz w:val="24"/>
          <w:szCs w:val="24"/>
        </w:rPr>
      </w:pPr>
      <w:r>
        <w:rPr>
          <w:rFonts w:ascii="宋体" w:hAnsi="宋体" w:cs="宋体"/>
          <w:kern w:val="0"/>
          <w:sz w:val="24"/>
          <w:szCs w:val="24"/>
        </w:rPr>
        <w:t>设立日期：2005年2月3日</w:t>
      </w:r>
    </w:p>
    <w:p>
      <w:pPr>
        <w:pStyle w:val="65"/>
        <w:spacing w:line="360" w:lineRule="auto"/>
        <w:ind w:firstLine="480"/>
        <w:rPr>
          <w:rFonts w:eastAsia="Times New Roman"/>
          <w:kern w:val="0"/>
          <w:sz w:val="24"/>
          <w:szCs w:val="24"/>
        </w:rPr>
      </w:pPr>
      <w:r>
        <w:rPr>
          <w:rFonts w:ascii="宋体" w:hAnsi="宋体" w:cs="宋体"/>
          <w:kern w:val="0"/>
          <w:sz w:val="24"/>
          <w:szCs w:val="24"/>
        </w:rPr>
        <w:t>批准设立机关及批准设立文号：中国证监会证监基金字【2005】5号</w:t>
      </w:r>
    </w:p>
    <w:p>
      <w:pPr>
        <w:pStyle w:val="65"/>
        <w:spacing w:line="360" w:lineRule="auto"/>
        <w:ind w:firstLine="480"/>
        <w:rPr>
          <w:rFonts w:eastAsia="Times New Roman"/>
          <w:kern w:val="0"/>
          <w:sz w:val="24"/>
          <w:szCs w:val="24"/>
        </w:rPr>
      </w:pPr>
      <w:r>
        <w:rPr>
          <w:rFonts w:ascii="宋体" w:hAnsi="宋体" w:cs="宋体"/>
          <w:kern w:val="0"/>
          <w:sz w:val="24"/>
          <w:szCs w:val="24"/>
        </w:rPr>
        <w:t>组织形式：股份有限公司</w:t>
      </w:r>
    </w:p>
    <w:p>
      <w:pPr>
        <w:pStyle w:val="65"/>
        <w:spacing w:line="360" w:lineRule="auto"/>
        <w:ind w:firstLine="480"/>
        <w:rPr>
          <w:rFonts w:eastAsia="Times New Roman"/>
          <w:kern w:val="0"/>
          <w:sz w:val="24"/>
          <w:szCs w:val="24"/>
        </w:rPr>
      </w:pPr>
      <w:r>
        <w:rPr>
          <w:rFonts w:ascii="宋体" w:hAnsi="宋体" w:cs="宋体"/>
          <w:kern w:val="0"/>
          <w:sz w:val="24"/>
          <w:szCs w:val="24"/>
        </w:rPr>
        <w:t>注册资本：人民币132,724,224元</w:t>
      </w:r>
    </w:p>
    <w:p>
      <w:pPr>
        <w:pStyle w:val="65"/>
        <w:spacing w:line="360" w:lineRule="auto"/>
        <w:ind w:firstLine="480"/>
        <w:rPr>
          <w:rFonts w:eastAsia="Times New Roman"/>
          <w:kern w:val="0"/>
          <w:sz w:val="24"/>
          <w:szCs w:val="24"/>
        </w:rPr>
      </w:pPr>
      <w:r>
        <w:rPr>
          <w:rFonts w:ascii="宋体" w:hAnsi="宋体" w:cs="宋体"/>
          <w:kern w:val="0"/>
          <w:sz w:val="24"/>
          <w:szCs w:val="24"/>
        </w:rPr>
        <w:t>存续期限：持续经营</w:t>
      </w:r>
    </w:p>
    <w:p>
      <w:pPr>
        <w:pStyle w:val="65"/>
        <w:spacing w:line="360" w:lineRule="auto"/>
        <w:ind w:firstLine="480"/>
        <w:rPr>
          <w:rFonts w:eastAsia="Times New Roman"/>
          <w:kern w:val="0"/>
          <w:sz w:val="24"/>
          <w:szCs w:val="24"/>
        </w:rPr>
      </w:pPr>
      <w:r>
        <w:rPr>
          <w:rFonts w:ascii="宋体" w:hAnsi="宋体" w:cs="宋体"/>
          <w:kern w:val="0"/>
          <w:sz w:val="24"/>
          <w:szCs w:val="24"/>
        </w:rPr>
        <w:t>联系电话：（021）28932888</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基金管理人的权利与义务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依法募集资金；</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销售基金份额；</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按照规定召集基金份额持有人大会；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在基金托管人更换时，提名新的基金托管人；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担任或委托其他符合条件的机构担任基金登记机构办理基金登记业务并获得《基金合同》规定的费用；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依据《基金合同》及有关法律规定决定基金收益的分配方案；</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在《基金合同》约定的范围内，拒绝或暂停受理申购与赎回申请；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（12）依照法律法规为基金的利益对被投资公司行使股东权利，为基金的利益行使因基金财产投资于证券所产生的权利；</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（13）在法律法规允许的前提下，为基金的利益依法为基金进行融资及转融通证券出借业务；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（15）选择、更换律师事务所、会计师事务所、证券经纪商、期货经纪机构或其他为基金提供服务的外部机构；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在符合有关法律、法规的前提下，制订和调整有关基金认购、申购、赎回等业务规则；</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（17）法律法规及中国证监会规定的和《基金合同》约定的其他权利。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依法募集资金，办理或者委托经中国证监会认定的其他机构代为办理基金份额的发售、申购、赎回和登记事宜；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办理基金备案手续；</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除依据《基金法》、《基金合同》及其他有关规定外，不得利用基金财产为自己及任何第三人谋取利益，不得委托第三人运作基金财产；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依法接受基金托管人的监督；</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采取适当合理的措施使计算基金份额认购价格、申购对价、赎回对价和注销价格的方法符合《基金合同》等法律文件的规定，按有关规定计算并公告基金净值信息，确定基金份额申购、赎回的对价，编制申购赎回清单；</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进行基金会计核算并编制基金财务会计报告；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编制季度报告、中期报告和年度报告；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按规定受理申购与赎回申请，及时、足额支付赎回对价；</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（25）</w:t>
      </w:r>
      <w:r>
        <w:rPr>
          <w:rFonts w:ascii="宋体" w:hAnsi="宋体" w:cs="宋体"/>
          <w:kern w:val="0"/>
          <w:sz w:val="24"/>
          <w:szCs w:val="24"/>
        </w:rPr>
        <w:t>执行生效的基金份额持有人大会的决议；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（26）</w:t>
      </w:r>
      <w:r>
        <w:rPr>
          <w:rFonts w:ascii="宋体" w:hAnsi="宋体" w:cs="宋体"/>
          <w:kern w:val="0"/>
          <w:sz w:val="24"/>
          <w:szCs w:val="24"/>
        </w:rPr>
        <w:t>建立并保存基金份额持有人名册；</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（27）法律法规及中国证监会规定的和《基金合同》约定的其他义务。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基金托管人简况</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名称：国金证券股份有限公司</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住所：四川省成都市东城根上街95号</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法定代表人：冉云</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成立时间：1996年12月20日</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批准设立机关及批准设立文号：中国人民银行银复[1990]498号</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组织形式：股份有限公司</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注册资本：3,724,359,310元人民币</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存续期间：持续经营</w:t>
      </w:r>
    </w:p>
    <w:p>
      <w:pPr>
        <w:pStyle w:val="65"/>
        <w:spacing w:line="360" w:lineRule="auto"/>
        <w:ind w:firstLine="420"/>
        <w:jc w:val="left"/>
        <w:rPr>
          <w:rFonts w:ascii="宋体" w:hAnsi="宋体" w:cs="宋体"/>
          <w:kern w:val="0"/>
          <w:sz w:val="24"/>
          <w:szCs w:val="24"/>
        </w:rPr>
      </w:pPr>
      <w:r>
        <w:rPr>
          <w:rFonts w:hint="eastAsia" w:ascii="宋体" w:hAnsi="宋体" w:cs="宋体"/>
          <w:kern w:val="0"/>
          <w:sz w:val="24"/>
          <w:szCs w:val="24"/>
        </w:rPr>
        <w:t>基金托管业务批准文号：证监许可〔2017〕990号</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基金托管人的权利与义务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自《基金合同》生效之日起，依法律法规和《基金合同》的规定安全保管基金财产；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（4）根据相关市场规则，</w:t>
      </w:r>
      <w:r>
        <w:rPr>
          <w:rStyle w:val="66"/>
          <w:rFonts w:hint="eastAsia" w:ascii="宋体" w:hAnsi="宋体" w:cs="宋体"/>
          <w:kern w:val="0"/>
          <w:sz w:val="24"/>
          <w:szCs w:val="24"/>
        </w:rPr>
        <w:t>为基金开设资金账户、证券账户和债券托管账户等投资所需账户</w:t>
      </w:r>
      <w:r>
        <w:rPr>
          <w:rStyle w:val="66"/>
          <w:rFonts w:ascii="宋体" w:hAnsi="宋体" w:cs="宋体"/>
          <w:kern w:val="0"/>
          <w:sz w:val="24"/>
          <w:szCs w:val="24"/>
        </w:rPr>
        <w:t>，为基金办理证券、期货交易资金清算；</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提议召开或召集基金份额持有人大会；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在基金管理人更换时，提名新的基金管理人；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（7）法律法规及中国证监会规定的和《基金合同》约定的其他权利。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以诚实信用、勤勉尽责的原则持有并安全保管基金财产；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hint="eastAsia" w:ascii="宋体" w:hAnsi="宋体" w:cs="宋体"/>
          <w:kern w:val="0"/>
          <w:sz w:val="24"/>
          <w:szCs w:val="24"/>
        </w:rPr>
        <w:t>按规定开设基金财产的资金账户、证券账户和债券托管账户等投资所需账户</w:t>
      </w:r>
      <w:r>
        <w:rPr>
          <w:rFonts w:ascii="宋体" w:hAnsi="宋体" w:cs="宋体"/>
          <w:kern w:val="0"/>
          <w:sz w:val="24"/>
          <w:szCs w:val="24"/>
        </w:rPr>
        <w:t>，按照《基金合同》的约定，根据基金管理人的投资指令，及时办理清算、交割事宜；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（8）复核、审查基金管理人计算的基金资产净值、基金份额净值、基金份额申购、赎回对价的现金部分；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办理与基金托管业务活动有关的信息披露事项；</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（11）保存基金托管业务活动的记录、账册、报表和其他相关资料不少于法定最低期限；</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建立并保存基金份额持有人名册；</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按规定制作相关账册并与基金管理人核对；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（14）依据基金管理人的指令或有关规定向基金份额持有人支付基金收益和赎回对价的现金部分；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（18）面临解散、依法被撤销或者被依法宣告破产时，及时报告中国证监会，并通知基金管理人；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（21）</w:t>
      </w:r>
      <w:r>
        <w:rPr>
          <w:rFonts w:ascii="宋体" w:hAnsi="宋体" w:cs="宋体"/>
          <w:kern w:val="0"/>
          <w:sz w:val="24"/>
          <w:szCs w:val="24"/>
        </w:rPr>
        <w:t>执行生效的基金份额持有人大会的决议；</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（22）法律法规及中国证监会规定的和《基金合同》约定的其他义务。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三、</w:t>
      </w:r>
      <w:r>
        <w:rPr>
          <w:rFonts w:ascii="宋体" w:hAnsi="宋体" w:cs="宋体"/>
          <w:kern w:val="0"/>
          <w:sz w:val="24"/>
          <w:szCs w:val="24"/>
        </w:rPr>
        <w:t>基金份额持有人</w:t>
      </w:r>
    </w:p>
    <w:p>
      <w:pPr>
        <w:pStyle w:val="65"/>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pStyle w:val="65"/>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pPr>
        <w:pStyle w:val="65"/>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pPr>
        <w:pStyle w:val="65"/>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pPr>
        <w:pStyle w:val="65"/>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pPr>
        <w:pStyle w:val="65"/>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pPr>
        <w:pStyle w:val="65"/>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pPr>
        <w:pStyle w:val="65"/>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pPr>
        <w:pStyle w:val="65"/>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pPr>
        <w:pStyle w:val="65"/>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pPr>
        <w:pStyle w:val="65"/>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认真阅读并遵守《基金合同》、《招募说明书》等信息披露文件；</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关注基金信息披露，及时行使权利和履行义务；</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（4）交纳基金认购款项或认购股票、申购对价、现金差额及法律法规和《基金合同》所规定的费用；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执行生效的基金份额持有人大会的决议；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返还在基金交易过程中因任何原因获得的不当得利；</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（10）遵守基金管理人、基金托管人、销售机构和登记机构的相关交易及业务规则；</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Style w:val="66"/>
          <w:rFonts w:hint="eastAsia" w:ascii="宋体" w:hAnsi="宋体" w:cs="宋体"/>
          <w:kern w:val="0"/>
          <w:sz w:val="24"/>
          <w:szCs w:val="24"/>
        </w:rPr>
        <w:t>1</w:t>
      </w:r>
      <w:r>
        <w:rPr>
          <w:rStyle w:val="66"/>
          <w:rFonts w:ascii="宋体" w:hAnsi="宋体" w:cs="宋体"/>
          <w:kern w:val="0"/>
          <w:sz w:val="24"/>
          <w:szCs w:val="24"/>
        </w:rPr>
        <w:t>）</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pPr>
        <w:pStyle w:val="2"/>
        <w:spacing w:before="0" w:after="0"/>
        <w:jc w:val="center"/>
        <w:rPr>
          <w:rFonts w:ascii="Times New Roman"/>
          <w:color w:val="auto"/>
          <w:sz w:val="30"/>
        </w:rPr>
      </w:pPr>
      <w:bookmarkStart w:id="48" w:name="_Toc256000009"/>
      <w:r>
        <w:rPr>
          <w:rFonts w:ascii="Times New Roman"/>
          <w:color w:val="auto"/>
          <w:sz w:val="30"/>
        </w:rPr>
        <w:t>第十部分  基金份额持有人大会</w:t>
      </w:r>
      <w:bookmarkEnd w:id="48"/>
    </w:p>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pPr>
        <w:pStyle w:val="65"/>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pPr>
        <w:pStyle w:val="65"/>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pPr>
        <w:pStyle w:val="65"/>
        <w:spacing w:line="360" w:lineRule="auto"/>
        <w:ind w:firstLine="480"/>
        <w:rPr>
          <w:rFonts w:eastAsia="Times New Roman"/>
          <w:kern w:val="0"/>
          <w:sz w:val="24"/>
          <w:szCs w:val="24"/>
        </w:rPr>
      </w:pPr>
      <w:r>
        <w:rPr>
          <w:rFonts w:ascii="宋体" w:hAnsi="宋体" w:cs="宋体"/>
          <w:kern w:val="0"/>
          <w:sz w:val="24"/>
          <w:szCs w:val="24"/>
        </w:rPr>
        <w:t>鉴于本基金和本基金联接基金的相关性，本基金联接基金的基金份额持有人可以凭所持有的本基金联接基金的基金份额参加或者委派代表参加本基金的基金份额持有人大会并参与表决。在计算参会份额和计票时，本基金联接基金基金份额持有人持有的享有表决权的基金份额数和表决票数为：在本基金基金份额持有人大会的权益登记日，本基金联接基金持有本基金份额的总数乘以该基金份额持有人所持有的本基金联接基金份额占本基金联接基金总份额的比例。计算结果按照四舍五入的方法，保留到整数位。</w:t>
      </w:r>
    </w:p>
    <w:p>
      <w:pPr>
        <w:pStyle w:val="65"/>
        <w:spacing w:line="360" w:lineRule="auto"/>
        <w:ind w:firstLine="480"/>
        <w:rPr>
          <w:rFonts w:eastAsia="Times New Roman"/>
          <w:kern w:val="0"/>
          <w:sz w:val="24"/>
          <w:szCs w:val="24"/>
        </w:rPr>
      </w:pPr>
      <w:r>
        <w:rPr>
          <w:rFonts w:ascii="宋体" w:hAnsi="宋体" w:cs="宋体"/>
          <w:kern w:val="0"/>
          <w:sz w:val="24"/>
          <w:szCs w:val="24"/>
        </w:rPr>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pPr>
        <w:pStyle w:val="65"/>
        <w:spacing w:line="360" w:lineRule="auto"/>
        <w:ind w:firstLine="480"/>
        <w:rPr>
          <w:rFonts w:eastAsia="Times New Roman"/>
          <w:kern w:val="0"/>
          <w:sz w:val="24"/>
          <w:szCs w:val="24"/>
        </w:rPr>
      </w:pPr>
      <w:r>
        <w:rPr>
          <w:rFonts w:ascii="宋体" w:hAnsi="宋体" w:cs="宋体"/>
          <w:kern w:val="0"/>
          <w:sz w:val="24"/>
          <w:szCs w:val="24"/>
        </w:rPr>
        <w:t>本基金联接基金的基金管理人代表本基金联接基金的基金份额持有人提议召开或召集本基金份额持有人大会的，须先遵照本基金联接基金基金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pPr>
        <w:pStyle w:val="65"/>
        <w:spacing w:line="360" w:lineRule="auto"/>
        <w:ind w:firstLine="480"/>
        <w:rPr>
          <w:rFonts w:eastAsia="Times New Roman"/>
          <w:kern w:val="0"/>
          <w:sz w:val="24"/>
          <w:szCs w:val="24"/>
        </w:rPr>
      </w:pPr>
      <w:r>
        <w:rPr>
          <w:rFonts w:ascii="宋体" w:hAnsi="宋体" w:cs="宋体"/>
          <w:kern w:val="0"/>
          <w:sz w:val="24"/>
          <w:szCs w:val="24"/>
        </w:rPr>
        <w:t>一、召开事由</w:t>
      </w:r>
    </w:p>
    <w:p>
      <w:pPr>
        <w:pStyle w:val="65"/>
        <w:spacing w:line="360" w:lineRule="auto"/>
        <w:ind w:firstLine="480"/>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终止《基金合同》；</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更换基金管理人；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更换基金托管人；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转换基金运作方式；</w:t>
      </w:r>
    </w:p>
    <w:p>
      <w:pPr>
        <w:widowControl/>
        <w:spacing w:line="360" w:lineRule="auto"/>
        <w:ind w:firstLine="480"/>
        <w:jc w:val="left"/>
        <w:rPr>
          <w:rStyle w:val="69"/>
          <w:rFonts w:ascii="宋体" w:hAnsi="宋体" w:cs="宋体"/>
          <w:kern w:val="0"/>
          <w:sz w:val="24"/>
          <w:szCs w:val="24"/>
        </w:rPr>
      </w:pPr>
      <w:r>
        <w:rPr>
          <w:rStyle w:val="69"/>
          <w:rFonts w:ascii="宋体" w:hAnsi="宋体" w:cs="宋体"/>
          <w:kern w:val="0"/>
          <w:sz w:val="24"/>
          <w:szCs w:val="24"/>
        </w:rPr>
        <w:t>（5）</w:t>
      </w:r>
      <w:r>
        <w:rPr>
          <w:rStyle w:val="68"/>
          <w:rFonts w:ascii="宋体" w:hAnsi="宋体" w:cs="宋体"/>
          <w:kern w:val="0"/>
          <w:sz w:val="24"/>
          <w:szCs w:val="24"/>
        </w:rPr>
        <w:t>调整基金管理人、基金托管人的报酬标准；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变更基金类别；</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本基金与其他基金的合并；</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变更基金投资目标、范围或策略；</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变更基金份额持有人大会程序；</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基金管理人或基金托管人要求召开基金份额持有人大会；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对基金合同当事人权利和义务产生重大影响的其他事项；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（13）终止基金上市，但因基金不再具备上市条件而被深圳证券交易所终止上市的除外；</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法律法规、《基金合同》或中国证监会规定的其他应当召开基金份额持有人大会的事项。</w:t>
      </w:r>
    </w:p>
    <w:p>
      <w:pPr>
        <w:pStyle w:val="65"/>
        <w:spacing w:line="360" w:lineRule="auto"/>
        <w:ind w:firstLine="480"/>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pPr>
        <w:pStyle w:val="65"/>
        <w:spacing w:line="360" w:lineRule="auto"/>
        <w:ind w:firstLine="480"/>
        <w:rPr>
          <w:rFonts w:eastAsia="Times New Roman"/>
          <w:kern w:val="0"/>
          <w:sz w:val="24"/>
          <w:szCs w:val="24"/>
        </w:rPr>
      </w:pPr>
      <w:r>
        <w:rPr>
          <w:rFonts w:ascii="宋体" w:hAnsi="宋体" w:cs="宋体"/>
          <w:kern w:val="0"/>
          <w:sz w:val="24"/>
          <w:szCs w:val="24"/>
        </w:rPr>
        <w:t>（1）法律法规要求增加的基金费用的收取；</w:t>
      </w:r>
    </w:p>
    <w:p>
      <w:pPr>
        <w:pStyle w:val="65"/>
        <w:spacing w:line="360" w:lineRule="auto"/>
        <w:ind w:firstLine="480"/>
        <w:rPr>
          <w:rFonts w:eastAsia="Times New Roman"/>
          <w:kern w:val="0"/>
          <w:sz w:val="24"/>
          <w:szCs w:val="24"/>
        </w:rPr>
      </w:pPr>
      <w:r>
        <w:rPr>
          <w:rStyle w:val="66"/>
          <w:rFonts w:ascii="宋体" w:hAnsi="宋体" w:cs="宋体"/>
          <w:kern w:val="0"/>
          <w:sz w:val="24"/>
          <w:szCs w:val="24"/>
        </w:rPr>
        <w:t>（2）调整本基金的申购费率或变更收费方式；</w:t>
      </w:r>
    </w:p>
    <w:p>
      <w:pPr>
        <w:pStyle w:val="65"/>
        <w:spacing w:line="360" w:lineRule="auto"/>
        <w:ind w:firstLine="480"/>
        <w:rPr>
          <w:rFonts w:eastAsia="Times New Roman"/>
          <w:kern w:val="0"/>
          <w:sz w:val="24"/>
          <w:szCs w:val="24"/>
        </w:rPr>
      </w:pPr>
      <w:r>
        <w:rPr>
          <w:rFonts w:ascii="宋体" w:hAnsi="宋体" w:cs="宋体"/>
          <w:kern w:val="0"/>
          <w:sz w:val="24"/>
          <w:szCs w:val="24"/>
        </w:rPr>
        <w:t>（3）因相应的法律法规、证券交易所或登记机构相关业务规则发生变动而应当对《基金合同》进行修改；</w:t>
      </w:r>
    </w:p>
    <w:p>
      <w:pPr>
        <w:pStyle w:val="65"/>
        <w:spacing w:line="360" w:lineRule="auto"/>
        <w:ind w:firstLine="480"/>
        <w:rPr>
          <w:rFonts w:eastAsia="Times New Roman"/>
          <w:kern w:val="0"/>
          <w:sz w:val="24"/>
          <w:szCs w:val="24"/>
        </w:rPr>
      </w:pPr>
      <w:r>
        <w:rPr>
          <w:rFonts w:ascii="宋体" w:hAnsi="宋体" w:cs="宋体"/>
          <w:kern w:val="0"/>
          <w:sz w:val="24"/>
          <w:szCs w:val="24"/>
        </w:rPr>
        <w:t>（4）基金管理人、证券交易所和基金登记机构等调整有关基金认购、申购、赎回、非交易过户、质押等业务规则；</w:t>
      </w:r>
    </w:p>
    <w:p>
      <w:pPr>
        <w:pStyle w:val="65"/>
        <w:spacing w:line="360" w:lineRule="auto"/>
        <w:ind w:firstLine="480"/>
        <w:rPr>
          <w:rFonts w:eastAsia="Times New Roman"/>
          <w:kern w:val="0"/>
          <w:sz w:val="24"/>
          <w:szCs w:val="24"/>
        </w:rPr>
      </w:pPr>
      <w:r>
        <w:rPr>
          <w:rFonts w:ascii="宋体" w:hAnsi="宋体" w:cs="宋体"/>
          <w:kern w:val="0"/>
          <w:sz w:val="24"/>
          <w:szCs w:val="24"/>
        </w:rPr>
        <w:t>（5）对《基金合同》的修改对基金份额持有人利益无实质性不利影响或修改不涉及《基金合同》当事人权利义务关系发生重大变化；</w:t>
      </w:r>
    </w:p>
    <w:p>
      <w:pPr>
        <w:pStyle w:val="65"/>
        <w:spacing w:line="360" w:lineRule="auto"/>
        <w:ind w:firstLine="480"/>
        <w:rPr>
          <w:rFonts w:eastAsia="Times New Roman"/>
          <w:kern w:val="0"/>
          <w:sz w:val="24"/>
          <w:szCs w:val="24"/>
        </w:rPr>
      </w:pPr>
      <w:r>
        <w:rPr>
          <w:rFonts w:ascii="宋体" w:hAnsi="宋体" w:cs="宋体"/>
          <w:kern w:val="0"/>
          <w:sz w:val="24"/>
          <w:szCs w:val="24"/>
        </w:rPr>
        <w:t>（6）履行适当程序后基金推出新业务或服务；</w:t>
      </w:r>
    </w:p>
    <w:p>
      <w:pPr>
        <w:pStyle w:val="65"/>
        <w:spacing w:line="360" w:lineRule="auto"/>
        <w:ind w:firstLine="480"/>
        <w:rPr>
          <w:rFonts w:eastAsia="Times New Roman"/>
          <w:kern w:val="0"/>
          <w:sz w:val="24"/>
          <w:szCs w:val="24"/>
        </w:rPr>
      </w:pPr>
      <w:r>
        <w:rPr>
          <w:rFonts w:ascii="宋体" w:hAnsi="宋体" w:cs="宋体"/>
          <w:kern w:val="0"/>
          <w:sz w:val="24"/>
          <w:szCs w:val="24"/>
        </w:rPr>
        <w:t>（</w:t>
      </w:r>
      <w:r>
        <w:rPr>
          <w:rFonts w:hint="eastAsia" w:ascii="宋体" w:hAnsi="宋体" w:cs="宋体"/>
          <w:kern w:val="0"/>
          <w:sz w:val="24"/>
          <w:szCs w:val="24"/>
          <w:lang w:val="en-US" w:eastAsia="zh-CN"/>
        </w:rPr>
        <w:t>7</w:t>
      </w:r>
      <w:r>
        <w:rPr>
          <w:rFonts w:ascii="宋体" w:hAnsi="宋体" w:cs="宋体"/>
          <w:kern w:val="0"/>
          <w:sz w:val="24"/>
          <w:szCs w:val="24"/>
        </w:rPr>
        <w:t>）增加、减少、调整基金份额类别设置；</w:t>
      </w:r>
    </w:p>
    <w:p>
      <w:pPr>
        <w:pStyle w:val="65"/>
        <w:spacing w:line="360" w:lineRule="auto"/>
        <w:ind w:firstLine="480"/>
        <w:rPr>
          <w:rFonts w:eastAsia="Times New Roman"/>
          <w:kern w:val="0"/>
          <w:sz w:val="24"/>
          <w:szCs w:val="24"/>
        </w:rPr>
      </w:pPr>
      <w:r>
        <w:rPr>
          <w:rFonts w:ascii="宋体" w:hAnsi="宋体" w:cs="宋体"/>
          <w:kern w:val="0"/>
          <w:sz w:val="24"/>
          <w:szCs w:val="24"/>
        </w:rPr>
        <w:t>（</w:t>
      </w:r>
      <w:r>
        <w:rPr>
          <w:rFonts w:hint="eastAsia" w:ascii="宋体" w:hAnsi="宋体" w:cs="宋体"/>
          <w:kern w:val="0"/>
          <w:sz w:val="24"/>
          <w:szCs w:val="24"/>
          <w:lang w:val="en-US" w:eastAsia="zh-CN"/>
        </w:rPr>
        <w:t>8</w:t>
      </w:r>
      <w:r>
        <w:rPr>
          <w:rFonts w:ascii="宋体" w:hAnsi="宋体" w:cs="宋体"/>
          <w:kern w:val="0"/>
          <w:sz w:val="24"/>
          <w:szCs w:val="24"/>
        </w:rPr>
        <w:t>）调整最小申购赎回单位、调整基金的申购赎回方式及申购对价、赎回对价组成；</w:t>
      </w:r>
    </w:p>
    <w:p>
      <w:pPr>
        <w:pStyle w:val="65"/>
        <w:spacing w:line="360" w:lineRule="auto"/>
        <w:ind w:firstLine="480"/>
        <w:rPr>
          <w:rFonts w:eastAsia="Times New Roman"/>
          <w:kern w:val="0"/>
          <w:sz w:val="24"/>
          <w:szCs w:val="24"/>
        </w:rPr>
      </w:pPr>
      <w:r>
        <w:rPr>
          <w:rFonts w:ascii="宋体" w:hAnsi="宋体" w:cs="宋体"/>
          <w:kern w:val="0"/>
          <w:sz w:val="24"/>
          <w:szCs w:val="24"/>
        </w:rPr>
        <w:t>（</w:t>
      </w:r>
      <w:r>
        <w:rPr>
          <w:rFonts w:hint="eastAsia" w:ascii="宋体" w:hAnsi="宋体" w:cs="宋体"/>
          <w:kern w:val="0"/>
          <w:sz w:val="24"/>
          <w:szCs w:val="24"/>
          <w:lang w:val="en-US" w:eastAsia="zh-CN"/>
        </w:rPr>
        <w:t>9</w:t>
      </w:r>
      <w:r>
        <w:rPr>
          <w:rFonts w:ascii="宋体" w:hAnsi="宋体" w:cs="宋体"/>
          <w:kern w:val="0"/>
          <w:sz w:val="24"/>
          <w:szCs w:val="24"/>
        </w:rPr>
        <w:t>）在其他证券交易所上市或开通基金的场外申购赎回、跨系统转托管等业务；</w:t>
      </w:r>
    </w:p>
    <w:p>
      <w:pPr>
        <w:pStyle w:val="65"/>
        <w:spacing w:line="360" w:lineRule="auto"/>
        <w:ind w:firstLine="480"/>
        <w:rPr>
          <w:rFonts w:eastAsia="Times New Roman"/>
          <w:kern w:val="0"/>
          <w:sz w:val="24"/>
          <w:szCs w:val="24"/>
        </w:rPr>
      </w:pPr>
      <w:r>
        <w:rPr>
          <w:rFonts w:ascii="宋体" w:hAnsi="宋体" w:cs="宋体"/>
          <w:kern w:val="0"/>
          <w:sz w:val="24"/>
          <w:szCs w:val="24"/>
        </w:rPr>
        <w:t>（</w:t>
      </w:r>
      <w:r>
        <w:rPr>
          <w:rFonts w:hint="eastAsia" w:ascii="宋体" w:hAnsi="宋体" w:cs="宋体"/>
          <w:kern w:val="0"/>
          <w:sz w:val="24"/>
          <w:szCs w:val="24"/>
          <w:lang w:val="en-US" w:eastAsia="zh-CN"/>
        </w:rPr>
        <w:t>10</w:t>
      </w:r>
      <w:r>
        <w:rPr>
          <w:rFonts w:ascii="宋体" w:hAnsi="宋体" w:cs="宋体"/>
          <w:kern w:val="0"/>
          <w:sz w:val="24"/>
          <w:szCs w:val="24"/>
        </w:rPr>
        <w:t>）按照法律法规和《基金合同》规定不需召开基金份额持有人大会的其他情形。</w:t>
      </w:r>
    </w:p>
    <w:p>
      <w:pPr>
        <w:pStyle w:val="65"/>
        <w:spacing w:line="360" w:lineRule="auto"/>
        <w:ind w:firstLine="480"/>
        <w:rPr>
          <w:rFonts w:eastAsia="Times New Roman"/>
          <w:kern w:val="0"/>
          <w:sz w:val="24"/>
          <w:szCs w:val="24"/>
        </w:rPr>
      </w:pPr>
      <w:r>
        <w:rPr>
          <w:rFonts w:ascii="宋体" w:hAnsi="宋体" w:cs="宋体"/>
          <w:kern w:val="0"/>
          <w:sz w:val="24"/>
          <w:szCs w:val="24"/>
        </w:rPr>
        <w:t>二、会议召集人及召集方式</w:t>
      </w:r>
    </w:p>
    <w:p>
      <w:pPr>
        <w:pStyle w:val="65"/>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pPr>
        <w:pStyle w:val="65"/>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pPr>
        <w:pStyle w:val="65"/>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pStyle w:val="65"/>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pStyle w:val="65"/>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pStyle w:val="65"/>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pPr>
        <w:pStyle w:val="65"/>
        <w:spacing w:line="360" w:lineRule="auto"/>
        <w:ind w:firstLine="480"/>
        <w:rPr>
          <w:rFonts w:eastAsia="Times New Roman"/>
          <w:kern w:val="0"/>
          <w:sz w:val="24"/>
          <w:szCs w:val="24"/>
        </w:rPr>
      </w:pPr>
      <w:r>
        <w:rPr>
          <w:rFonts w:ascii="宋体" w:hAnsi="宋体" w:cs="宋体"/>
          <w:kern w:val="0"/>
          <w:sz w:val="24"/>
          <w:szCs w:val="24"/>
        </w:rPr>
        <w:t>三、召开基金份额持有人大会的通知时间、通知内容、通知方式</w:t>
      </w:r>
    </w:p>
    <w:p>
      <w:pPr>
        <w:pStyle w:val="65"/>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pPr>
        <w:pStyle w:val="65"/>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pPr>
        <w:pStyle w:val="65"/>
        <w:spacing w:line="360" w:lineRule="auto"/>
        <w:ind w:firstLine="480"/>
        <w:rPr>
          <w:rFonts w:eastAsia="Times New Roman"/>
          <w:kern w:val="0"/>
          <w:sz w:val="24"/>
          <w:szCs w:val="24"/>
        </w:rPr>
      </w:pPr>
      <w:r>
        <w:rPr>
          <w:rFonts w:ascii="宋体" w:hAnsi="宋体" w:cs="宋体"/>
          <w:kern w:val="0"/>
          <w:sz w:val="24"/>
          <w:szCs w:val="24"/>
        </w:rPr>
        <w:t>（2）会议拟审议的事项、议事程序和表决方式；</w:t>
      </w:r>
    </w:p>
    <w:p>
      <w:pPr>
        <w:pStyle w:val="65"/>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pPr>
        <w:pStyle w:val="65"/>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pPr>
        <w:pStyle w:val="65"/>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pPr>
        <w:pStyle w:val="65"/>
        <w:spacing w:line="360" w:lineRule="auto"/>
        <w:ind w:firstLine="480"/>
        <w:rPr>
          <w:rFonts w:eastAsia="Times New Roman"/>
          <w:kern w:val="0"/>
          <w:sz w:val="24"/>
          <w:szCs w:val="24"/>
        </w:rPr>
      </w:pPr>
      <w:r>
        <w:rPr>
          <w:rFonts w:ascii="宋体" w:hAnsi="宋体" w:cs="宋体"/>
          <w:kern w:val="0"/>
          <w:sz w:val="24"/>
          <w:szCs w:val="24"/>
        </w:rPr>
        <w:t>（6）出席会议者必须准备的文件和必须履行的手续；</w:t>
      </w:r>
    </w:p>
    <w:p>
      <w:pPr>
        <w:pStyle w:val="65"/>
        <w:spacing w:line="360" w:lineRule="auto"/>
        <w:ind w:firstLine="480"/>
        <w:rPr>
          <w:rFonts w:eastAsia="Times New Roman"/>
          <w:kern w:val="0"/>
          <w:sz w:val="24"/>
          <w:szCs w:val="24"/>
        </w:rPr>
      </w:pPr>
      <w:r>
        <w:rPr>
          <w:rFonts w:ascii="宋体" w:hAnsi="宋体" w:cs="宋体"/>
          <w:kern w:val="0"/>
          <w:sz w:val="24"/>
          <w:szCs w:val="24"/>
        </w:rPr>
        <w:t>（7）召集人需要通知的其他事项。</w:t>
      </w:r>
    </w:p>
    <w:p>
      <w:pPr>
        <w:pStyle w:val="65"/>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pStyle w:val="65"/>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pStyle w:val="65"/>
        <w:spacing w:line="360" w:lineRule="auto"/>
        <w:ind w:firstLine="480"/>
        <w:rPr>
          <w:rFonts w:eastAsia="Times New Roman"/>
          <w:kern w:val="0"/>
          <w:sz w:val="24"/>
          <w:szCs w:val="24"/>
        </w:rPr>
      </w:pPr>
      <w:r>
        <w:rPr>
          <w:rFonts w:ascii="宋体" w:hAnsi="宋体" w:cs="宋体"/>
          <w:kern w:val="0"/>
          <w:sz w:val="24"/>
          <w:szCs w:val="24"/>
        </w:rPr>
        <w:t>四、基金份额持有人出席会议的方式</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pPr>
        <w:pStyle w:val="65"/>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pStyle w:val="65"/>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pStyle w:val="65"/>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pStyle w:val="65"/>
        <w:spacing w:line="360" w:lineRule="auto"/>
        <w:ind w:firstLine="480"/>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pPr>
        <w:pStyle w:val="65"/>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pPr>
        <w:pStyle w:val="65"/>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pPr>
        <w:pStyle w:val="65"/>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pPr>
        <w:pStyle w:val="65"/>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pPr>
        <w:pStyle w:val="65"/>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pPr>
        <w:pStyle w:val="65"/>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pPr>
        <w:pStyle w:val="65"/>
        <w:spacing w:line="360" w:lineRule="auto"/>
        <w:ind w:firstLine="480"/>
        <w:rPr>
          <w:rFonts w:eastAsia="Times New Roman"/>
          <w:kern w:val="0"/>
          <w:sz w:val="24"/>
          <w:szCs w:val="24"/>
        </w:rPr>
      </w:pPr>
      <w:r>
        <w:rPr>
          <w:rFonts w:ascii="宋体" w:hAnsi="宋体" w:cs="宋体"/>
          <w:kern w:val="0"/>
          <w:sz w:val="24"/>
          <w:szCs w:val="24"/>
        </w:rPr>
        <w:t>五、议事内容与程序</w:t>
      </w:r>
    </w:p>
    <w:p>
      <w:pPr>
        <w:pStyle w:val="65"/>
        <w:spacing w:line="360" w:lineRule="auto"/>
        <w:ind w:firstLine="480"/>
        <w:rPr>
          <w:rFonts w:eastAsia="Times New Roman"/>
          <w:kern w:val="0"/>
          <w:sz w:val="24"/>
          <w:szCs w:val="24"/>
        </w:rPr>
      </w:pPr>
      <w:r>
        <w:rPr>
          <w:rFonts w:ascii="宋体" w:hAnsi="宋体" w:cs="宋体"/>
          <w:kern w:val="0"/>
          <w:sz w:val="24"/>
          <w:szCs w:val="24"/>
        </w:rPr>
        <w:t>1、议事内容及提案权</w:t>
      </w:r>
    </w:p>
    <w:p>
      <w:pPr>
        <w:pStyle w:val="65"/>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pPr>
        <w:pStyle w:val="65"/>
        <w:spacing w:line="360" w:lineRule="auto"/>
        <w:ind w:firstLine="480"/>
        <w:rPr>
          <w:rFonts w:eastAsia="Times New Roman"/>
          <w:kern w:val="0"/>
          <w:sz w:val="24"/>
          <w:szCs w:val="24"/>
        </w:rPr>
      </w:pPr>
      <w:r>
        <w:rPr>
          <w:rFonts w:ascii="宋体" w:hAnsi="宋体" w:cs="宋体"/>
          <w:kern w:val="0"/>
          <w:sz w:val="24"/>
          <w:szCs w:val="24"/>
        </w:rPr>
        <w:t>2、议事程序</w:t>
      </w:r>
    </w:p>
    <w:p>
      <w:pPr>
        <w:pStyle w:val="65"/>
        <w:spacing w:line="360" w:lineRule="auto"/>
        <w:ind w:firstLine="480"/>
        <w:rPr>
          <w:rFonts w:eastAsia="Times New Roman"/>
          <w:kern w:val="0"/>
          <w:sz w:val="24"/>
          <w:szCs w:val="24"/>
        </w:rPr>
      </w:pPr>
      <w:r>
        <w:rPr>
          <w:rFonts w:ascii="宋体" w:hAnsi="宋体" w:cs="宋体"/>
          <w:kern w:val="0"/>
          <w:sz w:val="24"/>
          <w:szCs w:val="24"/>
        </w:rPr>
        <w:t>（1）现场开会</w:t>
      </w:r>
    </w:p>
    <w:p>
      <w:pPr>
        <w:pStyle w:val="65"/>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pStyle w:val="65"/>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pPr>
        <w:pStyle w:val="65"/>
        <w:spacing w:line="360" w:lineRule="auto"/>
        <w:ind w:firstLine="480"/>
        <w:rPr>
          <w:rFonts w:eastAsia="Times New Roman"/>
          <w:kern w:val="0"/>
          <w:sz w:val="24"/>
          <w:szCs w:val="24"/>
        </w:rPr>
      </w:pPr>
      <w:r>
        <w:rPr>
          <w:rFonts w:ascii="宋体" w:hAnsi="宋体" w:cs="宋体"/>
          <w:kern w:val="0"/>
          <w:sz w:val="24"/>
          <w:szCs w:val="24"/>
        </w:rPr>
        <w:t>（2）通讯开会</w:t>
      </w:r>
    </w:p>
    <w:p>
      <w:pPr>
        <w:pStyle w:val="65"/>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pPr>
        <w:pStyle w:val="65"/>
        <w:spacing w:line="360" w:lineRule="auto"/>
        <w:ind w:firstLine="480"/>
        <w:rPr>
          <w:rFonts w:eastAsia="Times New Roman"/>
          <w:kern w:val="0"/>
          <w:sz w:val="24"/>
          <w:szCs w:val="24"/>
        </w:rPr>
      </w:pPr>
      <w:r>
        <w:rPr>
          <w:rFonts w:ascii="宋体" w:hAnsi="宋体" w:cs="宋体"/>
          <w:kern w:val="0"/>
          <w:sz w:val="24"/>
          <w:szCs w:val="24"/>
        </w:rPr>
        <w:t>六、表决</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pPr>
        <w:pStyle w:val="65"/>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pStyle w:val="65"/>
        <w:spacing w:line="360" w:lineRule="auto"/>
        <w:ind w:firstLine="480"/>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pPr>
        <w:pStyle w:val="65"/>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pPr>
        <w:pStyle w:val="65"/>
        <w:spacing w:line="360" w:lineRule="auto"/>
        <w:ind w:firstLine="480"/>
        <w:rPr>
          <w:rFonts w:eastAsia="Times New Roman"/>
          <w:kern w:val="0"/>
          <w:sz w:val="24"/>
          <w:szCs w:val="24"/>
        </w:rPr>
      </w:pPr>
      <w:r>
        <w:rPr>
          <w:rFonts w:ascii="宋体" w:hAnsi="宋体" w:cs="宋体"/>
          <w:kern w:val="0"/>
          <w:sz w:val="24"/>
          <w:szCs w:val="24"/>
        </w:rPr>
        <w:t>七、计票</w:t>
      </w:r>
    </w:p>
    <w:p>
      <w:pPr>
        <w:pStyle w:val="65"/>
        <w:spacing w:line="360" w:lineRule="auto"/>
        <w:ind w:firstLine="480"/>
        <w:rPr>
          <w:rFonts w:eastAsia="Times New Roman"/>
          <w:kern w:val="0"/>
          <w:sz w:val="24"/>
          <w:szCs w:val="24"/>
        </w:rPr>
      </w:pPr>
      <w:r>
        <w:rPr>
          <w:rFonts w:ascii="宋体" w:hAnsi="宋体" w:cs="宋体"/>
          <w:kern w:val="0"/>
          <w:sz w:val="24"/>
          <w:szCs w:val="24"/>
        </w:rPr>
        <w:t>1、现场开会</w:t>
      </w:r>
    </w:p>
    <w:p>
      <w:pPr>
        <w:pStyle w:val="65"/>
        <w:spacing w:line="360" w:lineRule="auto"/>
        <w:ind w:firstLine="480"/>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pPr>
        <w:pStyle w:val="65"/>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pPr>
        <w:pStyle w:val="65"/>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pStyle w:val="65"/>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pPr>
        <w:pStyle w:val="65"/>
        <w:spacing w:line="360" w:lineRule="auto"/>
        <w:ind w:firstLine="480"/>
        <w:rPr>
          <w:rFonts w:eastAsia="Times New Roman"/>
          <w:kern w:val="0"/>
          <w:sz w:val="24"/>
          <w:szCs w:val="24"/>
        </w:rPr>
      </w:pPr>
      <w:r>
        <w:rPr>
          <w:rFonts w:ascii="宋体" w:hAnsi="宋体" w:cs="宋体"/>
          <w:kern w:val="0"/>
          <w:sz w:val="24"/>
          <w:szCs w:val="24"/>
        </w:rPr>
        <w:t>2、通讯开会</w:t>
      </w:r>
    </w:p>
    <w:p>
      <w:pPr>
        <w:pStyle w:val="65"/>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pPr>
        <w:pStyle w:val="65"/>
        <w:spacing w:line="360" w:lineRule="auto"/>
        <w:ind w:firstLine="480"/>
        <w:rPr>
          <w:rFonts w:eastAsia="Times New Roman"/>
          <w:kern w:val="0"/>
          <w:sz w:val="24"/>
          <w:szCs w:val="24"/>
        </w:rPr>
      </w:pPr>
      <w:r>
        <w:rPr>
          <w:rFonts w:ascii="宋体" w:hAnsi="宋体" w:cs="宋体"/>
          <w:kern w:val="0"/>
          <w:sz w:val="24"/>
          <w:szCs w:val="24"/>
        </w:rPr>
        <w:t>八、生效与公告</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pPr>
        <w:pStyle w:val="65"/>
        <w:spacing w:line="360" w:lineRule="auto"/>
        <w:ind w:firstLine="480"/>
        <w:rPr>
          <w:rFonts w:eastAsia="Times New Roman"/>
          <w:kern w:val="0"/>
          <w:sz w:val="24"/>
          <w:szCs w:val="24"/>
        </w:rPr>
      </w:pPr>
      <w:r>
        <w:rPr>
          <w:rFonts w:ascii="宋体" w:hAnsi="宋体" w:cs="宋体"/>
          <w:kern w:val="0"/>
          <w:sz w:val="24"/>
          <w:szCs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hint="eastAsia" w:ascii="宋体" w:hAnsi="宋体" w:cs="宋体"/>
          <w:kern w:val="0"/>
          <w:sz w:val="24"/>
          <w:szCs w:val="24"/>
        </w:rPr>
        <w:t>并提前公告后</w:t>
      </w:r>
      <w:r>
        <w:rPr>
          <w:rFonts w:ascii="宋体" w:hAnsi="宋体" w:cs="宋体"/>
          <w:kern w:val="0"/>
          <w:sz w:val="24"/>
          <w:szCs w:val="24"/>
        </w:rPr>
        <w:t>，可直接对本部分内容进行修改和调整，无需召开基金份额持有人大会审议。</w:t>
      </w:r>
      <w:r>
        <w:rPr>
          <w:rFonts w:ascii="宋体" w:hAnsi="宋体" w:cs="宋体"/>
          <w:kern w:val="0"/>
          <w:sz w:val="24"/>
          <w:szCs w:val="24"/>
        </w:rPr>
        <w:br w:type="page"/>
      </w:r>
    </w:p>
    <w:p>
      <w:pPr>
        <w:pStyle w:val="2"/>
        <w:spacing w:before="0" w:after="0"/>
        <w:jc w:val="center"/>
        <w:rPr>
          <w:rFonts w:ascii="Times New Roman"/>
          <w:color w:val="auto"/>
          <w:sz w:val="30"/>
        </w:rPr>
      </w:pPr>
      <w:bookmarkStart w:id="49" w:name="_Toc256000010"/>
      <w:bookmarkStart w:id="50" w:name="_Toc256000011"/>
      <w:r>
        <w:rPr>
          <w:rFonts w:ascii="Times New Roman"/>
          <w:color w:val="auto"/>
          <w:sz w:val="30"/>
        </w:rPr>
        <w:t>第十一部分  基金管理人、基金托管人的更换条件和程序</w:t>
      </w:r>
      <w:bookmarkEnd w:id="49"/>
    </w:p>
    <w:p/>
    <w:p>
      <w:pPr>
        <w:pStyle w:val="65"/>
        <w:spacing w:line="360" w:lineRule="auto"/>
        <w:ind w:firstLine="480"/>
        <w:rPr>
          <w:rFonts w:eastAsia="Times New Roman"/>
          <w:kern w:val="0"/>
          <w:sz w:val="24"/>
          <w:szCs w:val="24"/>
        </w:rPr>
      </w:pPr>
      <w:r>
        <w:rPr>
          <w:rFonts w:ascii="宋体" w:hAnsi="宋体" w:cs="宋体"/>
          <w:kern w:val="0"/>
          <w:sz w:val="24"/>
          <w:szCs w:val="24"/>
        </w:rPr>
        <w:t>一、基金管理人和基金托管人职责终止的情形</w:t>
      </w:r>
    </w:p>
    <w:p>
      <w:pPr>
        <w:pStyle w:val="65"/>
        <w:spacing w:line="360" w:lineRule="auto"/>
        <w:ind w:firstLine="480"/>
        <w:rPr>
          <w:rFonts w:eastAsia="Times New Roman"/>
          <w:kern w:val="0"/>
          <w:sz w:val="24"/>
          <w:szCs w:val="24"/>
        </w:rPr>
      </w:pPr>
      <w:r>
        <w:rPr>
          <w:rFonts w:ascii="宋体" w:hAnsi="宋体" w:cs="宋体"/>
          <w:kern w:val="0"/>
          <w:sz w:val="24"/>
          <w:szCs w:val="24"/>
        </w:rPr>
        <w:t>（一）基金管理人职责终止的情形</w:t>
      </w:r>
    </w:p>
    <w:p>
      <w:pPr>
        <w:pStyle w:val="65"/>
        <w:spacing w:line="360" w:lineRule="auto"/>
        <w:ind w:firstLine="480"/>
        <w:rPr>
          <w:rFonts w:eastAsia="Times New Roman"/>
          <w:kern w:val="0"/>
          <w:sz w:val="24"/>
          <w:szCs w:val="24"/>
        </w:rPr>
      </w:pPr>
      <w:r>
        <w:rPr>
          <w:rFonts w:ascii="宋体" w:hAnsi="宋体" w:cs="宋体"/>
          <w:kern w:val="0"/>
          <w:sz w:val="24"/>
          <w:szCs w:val="24"/>
        </w:rPr>
        <w:t>有下列情形之一的，基金管理人职责终止：</w:t>
      </w:r>
    </w:p>
    <w:p>
      <w:pPr>
        <w:pStyle w:val="65"/>
        <w:spacing w:line="360" w:lineRule="auto"/>
        <w:ind w:firstLine="480"/>
        <w:rPr>
          <w:rFonts w:eastAsia="Times New Roman"/>
          <w:kern w:val="0"/>
          <w:sz w:val="24"/>
          <w:szCs w:val="24"/>
        </w:rPr>
      </w:pPr>
      <w:r>
        <w:rPr>
          <w:rFonts w:ascii="宋体" w:hAnsi="宋体" w:cs="宋体"/>
          <w:kern w:val="0"/>
          <w:sz w:val="24"/>
          <w:szCs w:val="24"/>
        </w:rPr>
        <w:t>1、被依法取消基金管理资格；</w:t>
      </w:r>
    </w:p>
    <w:p>
      <w:pPr>
        <w:pStyle w:val="65"/>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pPr>
        <w:pStyle w:val="65"/>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pPr>
        <w:pStyle w:val="65"/>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pPr>
        <w:pStyle w:val="65"/>
        <w:spacing w:line="360" w:lineRule="auto"/>
        <w:ind w:firstLine="480"/>
        <w:rPr>
          <w:rFonts w:eastAsia="Times New Roman"/>
          <w:kern w:val="0"/>
          <w:sz w:val="24"/>
          <w:szCs w:val="24"/>
        </w:rPr>
      </w:pPr>
      <w:r>
        <w:rPr>
          <w:rFonts w:ascii="宋体" w:hAnsi="宋体" w:cs="宋体"/>
          <w:kern w:val="0"/>
          <w:sz w:val="24"/>
          <w:szCs w:val="24"/>
        </w:rPr>
        <w:t>（二）基金托管人职责终止的情形</w:t>
      </w:r>
    </w:p>
    <w:p>
      <w:pPr>
        <w:pStyle w:val="65"/>
        <w:spacing w:line="360" w:lineRule="auto"/>
        <w:ind w:firstLine="480"/>
        <w:rPr>
          <w:rFonts w:eastAsia="Times New Roman"/>
          <w:kern w:val="0"/>
          <w:sz w:val="24"/>
          <w:szCs w:val="24"/>
        </w:rPr>
      </w:pPr>
      <w:r>
        <w:rPr>
          <w:rFonts w:ascii="宋体" w:hAnsi="宋体" w:cs="宋体"/>
          <w:kern w:val="0"/>
          <w:sz w:val="24"/>
          <w:szCs w:val="24"/>
        </w:rPr>
        <w:t>有下列情形之一的，基金托管人职责终止：</w:t>
      </w:r>
    </w:p>
    <w:p>
      <w:pPr>
        <w:pStyle w:val="65"/>
        <w:spacing w:line="360" w:lineRule="auto"/>
        <w:ind w:firstLine="480"/>
        <w:rPr>
          <w:rFonts w:eastAsia="Times New Roman"/>
          <w:kern w:val="0"/>
          <w:sz w:val="24"/>
          <w:szCs w:val="24"/>
        </w:rPr>
      </w:pPr>
      <w:r>
        <w:rPr>
          <w:rFonts w:ascii="宋体" w:hAnsi="宋体" w:cs="宋体"/>
          <w:kern w:val="0"/>
          <w:sz w:val="24"/>
          <w:szCs w:val="24"/>
        </w:rPr>
        <w:t>1、被依法取消基金托管资格；</w:t>
      </w:r>
    </w:p>
    <w:p>
      <w:pPr>
        <w:pStyle w:val="65"/>
        <w:spacing w:line="360" w:lineRule="auto"/>
        <w:ind w:firstLine="480"/>
        <w:rPr>
          <w:rFonts w:eastAsia="Times New Roman"/>
          <w:kern w:val="0"/>
          <w:sz w:val="24"/>
          <w:szCs w:val="24"/>
        </w:rPr>
      </w:pPr>
      <w:r>
        <w:rPr>
          <w:rFonts w:ascii="宋体" w:hAnsi="宋体" w:cs="宋体"/>
          <w:kern w:val="0"/>
          <w:sz w:val="24"/>
          <w:szCs w:val="24"/>
        </w:rPr>
        <w:t>2、被基金份额持有人大会解任；</w:t>
      </w:r>
    </w:p>
    <w:p>
      <w:pPr>
        <w:pStyle w:val="65"/>
        <w:spacing w:line="360" w:lineRule="auto"/>
        <w:ind w:firstLine="480"/>
        <w:rPr>
          <w:rFonts w:eastAsia="Times New Roman"/>
          <w:kern w:val="0"/>
          <w:sz w:val="24"/>
          <w:szCs w:val="24"/>
        </w:rPr>
      </w:pPr>
      <w:r>
        <w:rPr>
          <w:rFonts w:ascii="宋体" w:hAnsi="宋体" w:cs="宋体"/>
          <w:kern w:val="0"/>
          <w:sz w:val="24"/>
          <w:szCs w:val="24"/>
        </w:rPr>
        <w:t>3、依法解散、被依法撤销或被依法宣告破产；</w:t>
      </w:r>
    </w:p>
    <w:p>
      <w:pPr>
        <w:pStyle w:val="65"/>
        <w:spacing w:line="360" w:lineRule="auto"/>
        <w:ind w:firstLine="480"/>
        <w:rPr>
          <w:rFonts w:eastAsia="Times New Roman"/>
          <w:kern w:val="0"/>
          <w:sz w:val="24"/>
          <w:szCs w:val="24"/>
        </w:rPr>
      </w:pPr>
      <w:r>
        <w:rPr>
          <w:rFonts w:ascii="宋体" w:hAnsi="宋体" w:cs="宋体"/>
          <w:kern w:val="0"/>
          <w:sz w:val="24"/>
          <w:szCs w:val="24"/>
        </w:rPr>
        <w:t>4、法律法规及中国证监会规定的和《基金合同》约定的其他情形。</w:t>
      </w:r>
    </w:p>
    <w:p>
      <w:pPr>
        <w:pStyle w:val="65"/>
        <w:spacing w:line="360" w:lineRule="auto"/>
        <w:ind w:firstLine="480"/>
        <w:rPr>
          <w:rFonts w:eastAsia="Times New Roman"/>
          <w:kern w:val="0"/>
          <w:sz w:val="24"/>
          <w:szCs w:val="24"/>
        </w:rPr>
      </w:pPr>
      <w:r>
        <w:rPr>
          <w:rFonts w:ascii="宋体" w:hAnsi="宋体" w:cs="宋体"/>
          <w:kern w:val="0"/>
          <w:sz w:val="24"/>
          <w:szCs w:val="24"/>
        </w:rPr>
        <w:t>二、基金管理人和基金托管人的更换程序</w:t>
      </w:r>
    </w:p>
    <w:p>
      <w:pPr>
        <w:pStyle w:val="65"/>
        <w:spacing w:line="360" w:lineRule="auto"/>
        <w:ind w:firstLine="480"/>
        <w:rPr>
          <w:rFonts w:eastAsia="Times New Roman"/>
          <w:kern w:val="0"/>
          <w:sz w:val="24"/>
          <w:szCs w:val="24"/>
        </w:rPr>
      </w:pPr>
      <w:r>
        <w:rPr>
          <w:rFonts w:ascii="宋体" w:hAnsi="宋体" w:cs="宋体"/>
          <w:kern w:val="0"/>
          <w:sz w:val="24"/>
          <w:szCs w:val="24"/>
        </w:rPr>
        <w:t>（一）基金管理人的更换程序</w:t>
      </w:r>
    </w:p>
    <w:p>
      <w:pPr>
        <w:pStyle w:val="65"/>
        <w:spacing w:line="360" w:lineRule="auto"/>
        <w:ind w:firstLine="480"/>
        <w:rPr>
          <w:rFonts w:eastAsia="Times New Roman"/>
          <w:kern w:val="0"/>
          <w:sz w:val="24"/>
          <w:szCs w:val="24"/>
        </w:rPr>
      </w:pPr>
      <w:r>
        <w:rPr>
          <w:rFonts w:ascii="宋体" w:hAnsi="宋体" w:cs="宋体"/>
          <w:kern w:val="0"/>
          <w:sz w:val="24"/>
          <w:szCs w:val="24"/>
        </w:rPr>
        <w:t>1、提名：新任基金管理人由基金托管人或由单独或合计持有10%以上（含10%）基金份额的基金份额持有人提名；</w:t>
      </w:r>
    </w:p>
    <w:p>
      <w:pPr>
        <w:pStyle w:val="65"/>
        <w:spacing w:line="360" w:lineRule="auto"/>
        <w:ind w:firstLine="480"/>
        <w:rPr>
          <w:rFonts w:eastAsia="Times New Roman"/>
          <w:kern w:val="0"/>
          <w:sz w:val="24"/>
          <w:szCs w:val="24"/>
        </w:rPr>
      </w:pPr>
      <w:r>
        <w:rPr>
          <w:rFonts w:ascii="宋体" w:hAnsi="宋体" w:cs="宋体"/>
          <w:kern w:val="0"/>
          <w:sz w:val="24"/>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pStyle w:val="65"/>
        <w:spacing w:line="360" w:lineRule="auto"/>
        <w:ind w:firstLine="480"/>
        <w:rPr>
          <w:rFonts w:eastAsia="Times New Roman"/>
          <w:kern w:val="0"/>
          <w:sz w:val="24"/>
          <w:szCs w:val="24"/>
        </w:rPr>
      </w:pPr>
      <w:r>
        <w:rPr>
          <w:rFonts w:ascii="宋体" w:hAnsi="宋体" w:cs="宋体"/>
          <w:kern w:val="0"/>
          <w:sz w:val="24"/>
          <w:szCs w:val="24"/>
        </w:rPr>
        <w:t>3、临时基金管理人：新任基金管理人产生之前，由中国证监会指定临时基金管理人；</w:t>
      </w:r>
    </w:p>
    <w:p>
      <w:pPr>
        <w:pStyle w:val="65"/>
        <w:spacing w:line="360" w:lineRule="auto"/>
        <w:ind w:firstLine="480"/>
        <w:rPr>
          <w:rFonts w:eastAsia="Times New Roman"/>
          <w:kern w:val="0"/>
          <w:sz w:val="24"/>
          <w:szCs w:val="24"/>
        </w:rPr>
      </w:pPr>
      <w:r>
        <w:rPr>
          <w:rFonts w:ascii="宋体" w:hAnsi="宋体" w:cs="宋体"/>
          <w:kern w:val="0"/>
          <w:sz w:val="24"/>
          <w:szCs w:val="24"/>
        </w:rPr>
        <w:t>4、备案：基金份额持有人大会更换基金管理人的决议须报中国证监会备案；</w:t>
      </w:r>
    </w:p>
    <w:p>
      <w:pPr>
        <w:pStyle w:val="65"/>
        <w:spacing w:line="360" w:lineRule="auto"/>
        <w:ind w:firstLine="480"/>
        <w:rPr>
          <w:rFonts w:eastAsia="Times New Roman"/>
          <w:kern w:val="0"/>
          <w:sz w:val="24"/>
          <w:szCs w:val="24"/>
        </w:rPr>
      </w:pPr>
      <w:r>
        <w:rPr>
          <w:rFonts w:ascii="宋体" w:hAnsi="宋体" w:cs="宋体"/>
          <w:kern w:val="0"/>
          <w:sz w:val="24"/>
          <w:szCs w:val="24"/>
        </w:rPr>
        <w:t>5、公告：基金管理人更换后，由基金托管人在更换基金管理人的基金份额持有人大会决议生效后2日内在规定媒介公告；</w:t>
      </w:r>
    </w:p>
    <w:p>
      <w:pPr>
        <w:pStyle w:val="65"/>
        <w:spacing w:line="360" w:lineRule="auto"/>
        <w:ind w:firstLine="480"/>
        <w:rPr>
          <w:rFonts w:eastAsia="Times New Roman"/>
          <w:kern w:val="0"/>
          <w:sz w:val="24"/>
          <w:szCs w:val="24"/>
        </w:rPr>
      </w:pPr>
      <w:r>
        <w:rPr>
          <w:rFonts w:ascii="宋体" w:hAnsi="宋体" w:cs="宋体"/>
          <w:kern w:val="0"/>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pPr>
        <w:pStyle w:val="65"/>
        <w:spacing w:line="360" w:lineRule="auto"/>
        <w:ind w:firstLine="480"/>
        <w:rPr>
          <w:rFonts w:eastAsia="Times New Roman"/>
          <w:kern w:val="0"/>
          <w:sz w:val="24"/>
          <w:szCs w:val="24"/>
        </w:rPr>
      </w:pPr>
      <w:r>
        <w:rPr>
          <w:rFonts w:ascii="宋体" w:hAnsi="宋体" w:cs="宋体"/>
          <w:kern w:val="0"/>
          <w:sz w:val="24"/>
          <w:szCs w:val="24"/>
        </w:rPr>
        <w:t>7、审计：基金管理人职责终止的，应当按照法律法规规定聘请符合《中华人民共和国证券法》规定的会计师事务所对基金财产进行审计，并将审计结果予以公告，同时报中国证监会备案，审计费用从基金财产中列支；</w:t>
      </w:r>
    </w:p>
    <w:p>
      <w:pPr>
        <w:pStyle w:val="65"/>
        <w:spacing w:line="360" w:lineRule="auto"/>
        <w:ind w:firstLine="480"/>
        <w:rPr>
          <w:rFonts w:eastAsia="Times New Roman"/>
          <w:kern w:val="0"/>
          <w:sz w:val="24"/>
          <w:szCs w:val="24"/>
        </w:rPr>
      </w:pPr>
      <w:r>
        <w:rPr>
          <w:rFonts w:ascii="宋体" w:hAnsi="宋体" w:cs="宋体"/>
          <w:kern w:val="0"/>
          <w:sz w:val="24"/>
          <w:szCs w:val="24"/>
        </w:rPr>
        <w:t>8、基金名称变更：基金管理人更换后，如果原任或新任基金管理人要求，应按其要求替换或删除基金名称中与原基金管理人有关的名称字样。</w:t>
      </w:r>
    </w:p>
    <w:p>
      <w:pPr>
        <w:pStyle w:val="65"/>
        <w:spacing w:line="360" w:lineRule="auto"/>
        <w:ind w:firstLine="480"/>
        <w:rPr>
          <w:rFonts w:eastAsia="Times New Roman"/>
          <w:kern w:val="0"/>
          <w:sz w:val="24"/>
          <w:szCs w:val="24"/>
        </w:rPr>
      </w:pPr>
      <w:r>
        <w:rPr>
          <w:rFonts w:ascii="宋体" w:hAnsi="宋体" w:cs="宋体"/>
          <w:kern w:val="0"/>
          <w:sz w:val="24"/>
          <w:szCs w:val="24"/>
        </w:rPr>
        <w:t>（二）基金托管人的更换程序</w:t>
      </w:r>
    </w:p>
    <w:p>
      <w:pPr>
        <w:pStyle w:val="65"/>
        <w:spacing w:line="360" w:lineRule="auto"/>
        <w:ind w:firstLine="480"/>
        <w:rPr>
          <w:rFonts w:eastAsia="Times New Roman"/>
          <w:kern w:val="0"/>
          <w:sz w:val="24"/>
          <w:szCs w:val="24"/>
        </w:rPr>
      </w:pPr>
      <w:r>
        <w:rPr>
          <w:rFonts w:ascii="宋体" w:hAnsi="宋体" w:cs="宋体"/>
          <w:kern w:val="0"/>
          <w:sz w:val="24"/>
          <w:szCs w:val="24"/>
        </w:rPr>
        <w:t>1、提名：新任基金托管人由基金管理人或由单独或合计持有10%以上（含10%）基金份额的基金份额持有人提名；</w:t>
      </w:r>
    </w:p>
    <w:p>
      <w:pPr>
        <w:pStyle w:val="65"/>
        <w:spacing w:line="360" w:lineRule="auto"/>
        <w:ind w:firstLine="480"/>
        <w:rPr>
          <w:rFonts w:eastAsia="Times New Roman"/>
          <w:kern w:val="0"/>
          <w:sz w:val="24"/>
          <w:szCs w:val="24"/>
        </w:rPr>
      </w:pPr>
      <w:r>
        <w:rPr>
          <w:rFonts w:ascii="宋体" w:hAnsi="宋体" w:cs="宋体"/>
          <w:kern w:val="0"/>
          <w:sz w:val="24"/>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pStyle w:val="65"/>
        <w:spacing w:line="360" w:lineRule="auto"/>
        <w:ind w:firstLine="480"/>
        <w:rPr>
          <w:rFonts w:eastAsia="Times New Roman"/>
          <w:kern w:val="0"/>
          <w:sz w:val="24"/>
          <w:szCs w:val="24"/>
        </w:rPr>
      </w:pPr>
      <w:r>
        <w:rPr>
          <w:rFonts w:ascii="宋体" w:hAnsi="宋体" w:cs="宋体"/>
          <w:kern w:val="0"/>
          <w:sz w:val="24"/>
          <w:szCs w:val="24"/>
        </w:rPr>
        <w:t>3、临时基金托管人：新任基金托管人产生之前，由中国证监会指定临时基金托管人；</w:t>
      </w:r>
    </w:p>
    <w:p>
      <w:pPr>
        <w:pStyle w:val="65"/>
        <w:spacing w:line="360" w:lineRule="auto"/>
        <w:ind w:firstLine="480"/>
        <w:rPr>
          <w:rFonts w:eastAsia="Times New Roman"/>
          <w:kern w:val="0"/>
          <w:sz w:val="24"/>
          <w:szCs w:val="24"/>
        </w:rPr>
      </w:pPr>
      <w:r>
        <w:rPr>
          <w:rFonts w:ascii="宋体" w:hAnsi="宋体" w:cs="宋体"/>
          <w:kern w:val="0"/>
          <w:sz w:val="24"/>
          <w:szCs w:val="24"/>
        </w:rPr>
        <w:t>4、备案：基金份额持有人大会更换基金托管人的决议须报中国证监会备案；</w:t>
      </w:r>
    </w:p>
    <w:p>
      <w:pPr>
        <w:pStyle w:val="65"/>
        <w:spacing w:line="360" w:lineRule="auto"/>
        <w:ind w:firstLine="480"/>
        <w:rPr>
          <w:rFonts w:eastAsia="Times New Roman"/>
          <w:kern w:val="0"/>
          <w:sz w:val="24"/>
          <w:szCs w:val="24"/>
        </w:rPr>
      </w:pPr>
      <w:r>
        <w:rPr>
          <w:rFonts w:ascii="宋体" w:hAnsi="宋体" w:cs="宋体"/>
          <w:kern w:val="0"/>
          <w:sz w:val="24"/>
          <w:szCs w:val="24"/>
        </w:rPr>
        <w:t>5、公告：基金托管人更换后，由基金管理人在更换基金托管人的基金份额持有人大会决议生效后2日内在规定媒介公告；</w:t>
      </w:r>
    </w:p>
    <w:p>
      <w:pPr>
        <w:pStyle w:val="65"/>
        <w:spacing w:line="360" w:lineRule="auto"/>
        <w:ind w:firstLine="480"/>
        <w:rPr>
          <w:rFonts w:eastAsia="Times New Roman"/>
          <w:kern w:val="0"/>
          <w:sz w:val="24"/>
          <w:szCs w:val="24"/>
        </w:rPr>
      </w:pPr>
      <w:r>
        <w:rPr>
          <w:rFonts w:ascii="宋体" w:hAnsi="宋体" w:cs="宋体"/>
          <w:kern w:val="0"/>
          <w:sz w:val="24"/>
          <w:szCs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pPr>
        <w:pStyle w:val="65"/>
        <w:spacing w:line="360" w:lineRule="auto"/>
        <w:ind w:firstLine="480"/>
        <w:rPr>
          <w:rFonts w:eastAsia="Times New Roman"/>
          <w:kern w:val="0"/>
          <w:sz w:val="24"/>
          <w:szCs w:val="24"/>
        </w:rPr>
      </w:pPr>
      <w:r>
        <w:rPr>
          <w:rFonts w:ascii="宋体" w:hAnsi="宋体" w:cs="宋体"/>
          <w:kern w:val="0"/>
          <w:sz w:val="24"/>
          <w:szCs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pPr>
        <w:pStyle w:val="65"/>
        <w:spacing w:line="360" w:lineRule="auto"/>
        <w:ind w:firstLine="480"/>
        <w:rPr>
          <w:rFonts w:eastAsia="Times New Roman"/>
          <w:kern w:val="0"/>
          <w:sz w:val="24"/>
          <w:szCs w:val="24"/>
        </w:rPr>
      </w:pPr>
      <w:r>
        <w:rPr>
          <w:rFonts w:ascii="宋体" w:hAnsi="宋体" w:cs="宋体"/>
          <w:kern w:val="0"/>
          <w:sz w:val="24"/>
          <w:szCs w:val="24"/>
        </w:rPr>
        <w:t>（三）基金管理人与基金托管人同时更换的条件和程序</w:t>
      </w:r>
    </w:p>
    <w:p>
      <w:pPr>
        <w:pStyle w:val="65"/>
        <w:spacing w:line="360" w:lineRule="auto"/>
        <w:ind w:firstLine="480"/>
        <w:rPr>
          <w:rFonts w:eastAsia="Times New Roman"/>
          <w:kern w:val="0"/>
          <w:sz w:val="24"/>
          <w:szCs w:val="24"/>
        </w:rPr>
      </w:pPr>
      <w:r>
        <w:rPr>
          <w:rFonts w:ascii="宋体" w:hAnsi="宋体" w:cs="宋体"/>
          <w:kern w:val="0"/>
          <w:sz w:val="24"/>
          <w:szCs w:val="24"/>
        </w:rPr>
        <w:t>1、提名：如果基金管理人和基金托管人同时更换，由单独或合计持有基金总份额10%以上（含10%）的基金份额持有人提名新的基金管理人和基金托管人；</w:t>
      </w:r>
    </w:p>
    <w:p>
      <w:pPr>
        <w:pStyle w:val="65"/>
        <w:spacing w:line="360" w:lineRule="auto"/>
        <w:ind w:firstLine="480"/>
        <w:rPr>
          <w:rFonts w:eastAsia="Times New Roman"/>
          <w:kern w:val="0"/>
          <w:sz w:val="24"/>
          <w:szCs w:val="24"/>
        </w:rPr>
      </w:pPr>
      <w:r>
        <w:rPr>
          <w:rFonts w:ascii="宋体" w:hAnsi="宋体" w:cs="宋体"/>
          <w:kern w:val="0"/>
          <w:sz w:val="24"/>
          <w:szCs w:val="24"/>
        </w:rPr>
        <w:t>2、基金管理人和基金托管人的更换分别按上述程序进行；</w:t>
      </w:r>
    </w:p>
    <w:p>
      <w:pPr>
        <w:pStyle w:val="65"/>
        <w:spacing w:line="360" w:lineRule="auto"/>
        <w:ind w:firstLine="480"/>
        <w:rPr>
          <w:rFonts w:eastAsia="Times New Roman"/>
          <w:kern w:val="0"/>
          <w:sz w:val="24"/>
          <w:szCs w:val="24"/>
        </w:rPr>
      </w:pPr>
      <w:r>
        <w:rPr>
          <w:rFonts w:ascii="宋体" w:hAnsi="宋体" w:cs="宋体"/>
          <w:kern w:val="0"/>
          <w:sz w:val="24"/>
          <w:szCs w:val="24"/>
        </w:rPr>
        <w:t>3、公告：新任基金管理人和新任基金托管人应在更换基金管理人和基金托管人的基金份额持有人大会决议生效后2日内在规定媒介上联合公告。</w:t>
      </w:r>
    </w:p>
    <w:p>
      <w:pPr>
        <w:pStyle w:val="65"/>
        <w:spacing w:line="360" w:lineRule="auto"/>
        <w:ind w:firstLine="480"/>
        <w:rPr>
          <w:rFonts w:eastAsia="Times New Roman"/>
          <w:kern w:val="0"/>
          <w:sz w:val="24"/>
          <w:szCs w:val="24"/>
        </w:rPr>
      </w:pPr>
      <w:r>
        <w:rPr>
          <w:rFonts w:ascii="宋体" w:hAnsi="宋体" w:cs="宋体"/>
          <w:kern w:val="0"/>
          <w:sz w:val="24"/>
          <w:szCs w:val="24"/>
        </w:rPr>
        <w:t>三、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pPr>
        <w:pStyle w:val="2"/>
        <w:spacing w:before="0" w:after="0"/>
        <w:jc w:val="center"/>
        <w:rPr>
          <w:rFonts w:ascii="Times New Roman"/>
          <w:color w:val="auto"/>
          <w:sz w:val="30"/>
        </w:rPr>
      </w:pPr>
      <w:r>
        <w:rPr>
          <w:rFonts w:ascii="Times New Roman"/>
          <w:color w:val="auto"/>
          <w:sz w:val="30"/>
        </w:rPr>
        <w:t>第十二部分  基金的托管</w:t>
      </w:r>
      <w:bookmarkEnd w:id="50"/>
    </w:p>
    <w:p/>
    <w:p>
      <w:pPr>
        <w:pStyle w:val="65"/>
        <w:spacing w:line="360" w:lineRule="auto"/>
        <w:ind w:firstLine="48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pPr>
        <w:pStyle w:val="65"/>
        <w:spacing w:line="360" w:lineRule="auto"/>
        <w:ind w:firstLine="48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pPr>
        <w:pStyle w:val="2"/>
        <w:spacing w:before="0" w:after="0"/>
        <w:jc w:val="center"/>
        <w:rPr>
          <w:rFonts w:ascii="Times New Roman"/>
          <w:color w:val="auto"/>
          <w:sz w:val="30"/>
        </w:rPr>
      </w:pPr>
      <w:bookmarkStart w:id="51" w:name="_Toc256000012"/>
      <w:r>
        <w:rPr>
          <w:rFonts w:ascii="Times New Roman"/>
          <w:color w:val="auto"/>
          <w:sz w:val="30"/>
        </w:rPr>
        <w:t>第十三部分  基金份额的登记</w:t>
      </w:r>
      <w:bookmarkEnd w:id="51"/>
    </w:p>
    <w:p/>
    <w:p>
      <w:pPr>
        <w:pStyle w:val="65"/>
        <w:spacing w:line="360" w:lineRule="auto"/>
        <w:ind w:firstLine="480"/>
        <w:rPr>
          <w:rFonts w:eastAsia="Times New Roman"/>
          <w:kern w:val="0"/>
          <w:sz w:val="24"/>
          <w:szCs w:val="24"/>
        </w:rPr>
      </w:pPr>
      <w:r>
        <w:rPr>
          <w:rFonts w:ascii="宋体" w:hAnsi="宋体" w:cs="宋体"/>
          <w:kern w:val="0"/>
          <w:sz w:val="24"/>
          <w:szCs w:val="24"/>
        </w:rPr>
        <w:t>一、基金份额的登记业务</w:t>
      </w:r>
    </w:p>
    <w:p>
      <w:pPr>
        <w:pStyle w:val="65"/>
        <w:spacing w:line="360" w:lineRule="auto"/>
        <w:ind w:firstLine="480"/>
        <w:rPr>
          <w:rFonts w:eastAsia="Times New Roman"/>
          <w:kern w:val="0"/>
          <w:sz w:val="24"/>
          <w:szCs w:val="24"/>
        </w:rPr>
      </w:pPr>
      <w:r>
        <w:rPr>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pStyle w:val="65"/>
        <w:spacing w:line="360" w:lineRule="auto"/>
        <w:ind w:firstLine="480"/>
        <w:rPr>
          <w:rFonts w:eastAsia="Times New Roman"/>
          <w:kern w:val="0"/>
          <w:sz w:val="24"/>
          <w:szCs w:val="24"/>
        </w:rPr>
      </w:pPr>
      <w:r>
        <w:rPr>
          <w:rFonts w:ascii="宋体" w:hAnsi="宋体" w:cs="宋体"/>
          <w:kern w:val="0"/>
          <w:sz w:val="24"/>
          <w:szCs w:val="24"/>
        </w:rPr>
        <w:t>二、基金登记业务办理机构</w:t>
      </w:r>
    </w:p>
    <w:p>
      <w:pPr>
        <w:pStyle w:val="65"/>
        <w:spacing w:line="360" w:lineRule="auto"/>
        <w:ind w:firstLine="48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pPr>
        <w:pStyle w:val="65"/>
        <w:spacing w:line="360" w:lineRule="auto"/>
        <w:ind w:firstLine="480"/>
        <w:rPr>
          <w:rFonts w:eastAsia="Times New Roman"/>
          <w:kern w:val="0"/>
          <w:sz w:val="24"/>
          <w:szCs w:val="24"/>
        </w:rPr>
      </w:pPr>
      <w:r>
        <w:rPr>
          <w:rFonts w:ascii="宋体" w:hAnsi="宋体" w:cs="宋体"/>
          <w:kern w:val="0"/>
          <w:sz w:val="24"/>
          <w:szCs w:val="24"/>
        </w:rPr>
        <w:t>三、基金登记机构的权利</w:t>
      </w:r>
    </w:p>
    <w:p>
      <w:pPr>
        <w:pStyle w:val="65"/>
        <w:spacing w:line="360" w:lineRule="auto"/>
        <w:ind w:firstLine="480"/>
        <w:rPr>
          <w:rFonts w:eastAsia="Times New Roman"/>
          <w:kern w:val="0"/>
          <w:sz w:val="24"/>
          <w:szCs w:val="24"/>
        </w:rPr>
      </w:pPr>
      <w:r>
        <w:rPr>
          <w:rFonts w:ascii="宋体" w:hAnsi="宋体" w:cs="宋体"/>
          <w:kern w:val="0"/>
          <w:sz w:val="24"/>
          <w:szCs w:val="24"/>
        </w:rPr>
        <w:t>基金登记机构享有以下权利：</w:t>
      </w:r>
    </w:p>
    <w:p>
      <w:pPr>
        <w:pStyle w:val="65"/>
        <w:spacing w:line="360" w:lineRule="auto"/>
        <w:ind w:firstLine="480"/>
        <w:rPr>
          <w:rFonts w:eastAsia="Times New Roman"/>
          <w:kern w:val="0"/>
          <w:sz w:val="24"/>
          <w:szCs w:val="24"/>
        </w:rPr>
      </w:pPr>
      <w:r>
        <w:rPr>
          <w:rFonts w:ascii="宋体" w:hAnsi="宋体" w:cs="宋体"/>
          <w:kern w:val="0"/>
          <w:sz w:val="24"/>
          <w:szCs w:val="24"/>
        </w:rPr>
        <w:t>1、取得登记费；</w:t>
      </w:r>
    </w:p>
    <w:p>
      <w:pPr>
        <w:pStyle w:val="65"/>
        <w:spacing w:line="360" w:lineRule="auto"/>
        <w:ind w:firstLine="480"/>
        <w:rPr>
          <w:rFonts w:eastAsia="Times New Roman"/>
          <w:kern w:val="0"/>
          <w:sz w:val="24"/>
          <w:szCs w:val="24"/>
        </w:rPr>
      </w:pPr>
      <w:r>
        <w:rPr>
          <w:rFonts w:ascii="宋体" w:hAnsi="宋体" w:cs="宋体"/>
          <w:kern w:val="0"/>
          <w:sz w:val="24"/>
          <w:szCs w:val="24"/>
        </w:rPr>
        <w:t>2、建立和管理投资者基金账户；</w:t>
      </w:r>
    </w:p>
    <w:p>
      <w:pPr>
        <w:pStyle w:val="65"/>
        <w:spacing w:line="360" w:lineRule="auto"/>
        <w:ind w:firstLine="480"/>
        <w:rPr>
          <w:rFonts w:eastAsia="Times New Roman"/>
          <w:kern w:val="0"/>
          <w:sz w:val="24"/>
          <w:szCs w:val="24"/>
        </w:rPr>
      </w:pPr>
      <w:r>
        <w:rPr>
          <w:rFonts w:ascii="宋体" w:hAnsi="宋体" w:cs="宋体"/>
          <w:kern w:val="0"/>
          <w:sz w:val="24"/>
          <w:szCs w:val="24"/>
        </w:rPr>
        <w:t>3、保管基金份额持有人开户资料、交易资料、基金份额持有人名册等；</w:t>
      </w:r>
    </w:p>
    <w:p>
      <w:pPr>
        <w:pStyle w:val="65"/>
        <w:spacing w:line="360" w:lineRule="auto"/>
        <w:ind w:firstLine="480"/>
        <w:rPr>
          <w:rFonts w:eastAsia="Times New Roman"/>
          <w:kern w:val="0"/>
          <w:sz w:val="24"/>
          <w:szCs w:val="24"/>
        </w:rPr>
      </w:pPr>
      <w:r>
        <w:rPr>
          <w:rFonts w:ascii="宋体" w:hAnsi="宋体" w:cs="宋体"/>
          <w:kern w:val="0"/>
          <w:sz w:val="24"/>
          <w:szCs w:val="24"/>
        </w:rPr>
        <w:t>4、在法律法规允许的范围内，对登记业务的办理时间进行调整，并依照有关规定于开始实施前在规定媒介上公告；</w:t>
      </w:r>
    </w:p>
    <w:p>
      <w:pPr>
        <w:pStyle w:val="65"/>
        <w:spacing w:line="360" w:lineRule="auto"/>
        <w:ind w:firstLine="480"/>
        <w:rPr>
          <w:rFonts w:eastAsia="Times New Roman"/>
          <w:kern w:val="0"/>
          <w:sz w:val="24"/>
          <w:szCs w:val="24"/>
        </w:rPr>
      </w:pPr>
      <w:r>
        <w:rPr>
          <w:rFonts w:ascii="宋体" w:hAnsi="宋体" w:cs="宋体"/>
          <w:kern w:val="0"/>
          <w:sz w:val="24"/>
          <w:szCs w:val="24"/>
        </w:rPr>
        <w:t>5、法律法规及中国证监会规定的和《基金合同》约定的其他权利。</w:t>
      </w:r>
    </w:p>
    <w:p>
      <w:pPr>
        <w:pStyle w:val="65"/>
        <w:spacing w:line="360" w:lineRule="auto"/>
        <w:ind w:firstLine="480"/>
        <w:rPr>
          <w:rFonts w:eastAsia="Times New Roman"/>
          <w:kern w:val="0"/>
          <w:sz w:val="24"/>
          <w:szCs w:val="24"/>
        </w:rPr>
      </w:pPr>
      <w:r>
        <w:rPr>
          <w:rFonts w:ascii="宋体" w:hAnsi="宋体" w:cs="宋体"/>
          <w:kern w:val="0"/>
          <w:sz w:val="24"/>
          <w:szCs w:val="24"/>
        </w:rPr>
        <w:t>四、基金登记机构的义务</w:t>
      </w:r>
    </w:p>
    <w:p>
      <w:pPr>
        <w:pStyle w:val="65"/>
        <w:spacing w:line="360" w:lineRule="auto"/>
        <w:ind w:firstLine="480"/>
        <w:rPr>
          <w:rFonts w:eastAsia="Times New Roman"/>
          <w:kern w:val="0"/>
          <w:sz w:val="24"/>
          <w:szCs w:val="24"/>
        </w:rPr>
      </w:pPr>
      <w:r>
        <w:rPr>
          <w:rFonts w:ascii="宋体" w:hAnsi="宋体" w:cs="宋体"/>
          <w:kern w:val="0"/>
          <w:sz w:val="24"/>
          <w:szCs w:val="24"/>
        </w:rPr>
        <w:t>基金登记机构承担以下义务：</w:t>
      </w:r>
    </w:p>
    <w:p>
      <w:pPr>
        <w:pStyle w:val="65"/>
        <w:spacing w:line="360" w:lineRule="auto"/>
        <w:ind w:firstLine="480"/>
        <w:rPr>
          <w:rFonts w:eastAsia="Times New Roman"/>
          <w:kern w:val="0"/>
          <w:sz w:val="24"/>
          <w:szCs w:val="24"/>
        </w:rPr>
      </w:pPr>
      <w:r>
        <w:rPr>
          <w:rFonts w:ascii="宋体" w:hAnsi="宋体" w:cs="宋体"/>
          <w:kern w:val="0"/>
          <w:sz w:val="24"/>
          <w:szCs w:val="24"/>
        </w:rPr>
        <w:t>1、配备足够的专业人员办理本基金份额的登记业务；</w:t>
      </w:r>
    </w:p>
    <w:p>
      <w:pPr>
        <w:pStyle w:val="65"/>
        <w:spacing w:line="360" w:lineRule="auto"/>
        <w:ind w:firstLine="480"/>
        <w:rPr>
          <w:rFonts w:eastAsia="Times New Roman"/>
          <w:kern w:val="0"/>
          <w:sz w:val="24"/>
          <w:szCs w:val="24"/>
        </w:rPr>
      </w:pPr>
      <w:r>
        <w:rPr>
          <w:rFonts w:ascii="宋体" w:hAnsi="宋体" w:cs="宋体"/>
          <w:kern w:val="0"/>
          <w:sz w:val="24"/>
          <w:szCs w:val="24"/>
        </w:rPr>
        <w:t>2、严格按照法律法规和《基金合同》规定的条件办理本基金份额的登记业务；</w:t>
      </w:r>
    </w:p>
    <w:p>
      <w:pPr>
        <w:pStyle w:val="65"/>
        <w:spacing w:line="360" w:lineRule="auto"/>
        <w:ind w:firstLine="480"/>
        <w:rPr>
          <w:rFonts w:eastAsia="Times New Roman"/>
          <w:kern w:val="0"/>
          <w:sz w:val="24"/>
          <w:szCs w:val="24"/>
        </w:rPr>
      </w:pPr>
      <w:r>
        <w:rPr>
          <w:rFonts w:ascii="宋体" w:hAnsi="宋体" w:cs="宋体"/>
          <w:kern w:val="0"/>
          <w:sz w:val="24"/>
          <w:szCs w:val="24"/>
        </w:rPr>
        <w:t>3、妥善保存登记数据，并将基金份额持有人名称、身份信息及基金份额明细等数据备份至中国证监会认定的机构。其保存期限自基金账户销户之日起不得少于20年；</w:t>
      </w:r>
    </w:p>
    <w:p>
      <w:pPr>
        <w:pStyle w:val="65"/>
        <w:spacing w:line="360" w:lineRule="auto"/>
        <w:ind w:firstLine="480"/>
        <w:rPr>
          <w:rFonts w:eastAsia="Times New Roman"/>
          <w:kern w:val="0"/>
          <w:sz w:val="24"/>
          <w:szCs w:val="24"/>
        </w:rPr>
      </w:pPr>
      <w:r>
        <w:rPr>
          <w:rFonts w:ascii="宋体" w:hAnsi="宋体" w:cs="宋体"/>
          <w:kern w:val="0"/>
          <w:sz w:val="24"/>
          <w:szCs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pStyle w:val="65"/>
        <w:spacing w:line="360" w:lineRule="auto"/>
        <w:ind w:firstLine="480"/>
        <w:rPr>
          <w:rFonts w:eastAsia="Times New Roman"/>
          <w:kern w:val="0"/>
          <w:sz w:val="24"/>
          <w:szCs w:val="24"/>
        </w:rPr>
      </w:pPr>
      <w:r>
        <w:rPr>
          <w:rFonts w:ascii="宋体" w:hAnsi="宋体" w:cs="宋体"/>
          <w:kern w:val="0"/>
          <w:sz w:val="24"/>
          <w:szCs w:val="24"/>
        </w:rPr>
        <w:t>5、按《基金合同》及招募说明书规定为投资者办理非交易过户业务、提供其他必要的服务；</w:t>
      </w:r>
    </w:p>
    <w:p>
      <w:pPr>
        <w:pStyle w:val="65"/>
        <w:spacing w:line="360" w:lineRule="auto"/>
        <w:ind w:firstLine="480"/>
        <w:rPr>
          <w:rFonts w:eastAsia="Times New Roman"/>
          <w:kern w:val="0"/>
          <w:sz w:val="24"/>
          <w:szCs w:val="24"/>
        </w:rPr>
      </w:pPr>
      <w:r>
        <w:rPr>
          <w:rFonts w:ascii="宋体" w:hAnsi="宋体" w:cs="宋体"/>
          <w:kern w:val="0"/>
          <w:sz w:val="24"/>
          <w:szCs w:val="24"/>
        </w:rPr>
        <w:t>6、接受基金管理人的监督；</w:t>
      </w:r>
    </w:p>
    <w:p>
      <w:pPr>
        <w:pStyle w:val="65"/>
        <w:spacing w:line="360" w:lineRule="auto"/>
        <w:ind w:firstLine="480"/>
        <w:rPr>
          <w:rFonts w:eastAsia="Times New Roman"/>
          <w:kern w:val="0"/>
          <w:sz w:val="24"/>
          <w:szCs w:val="24"/>
        </w:rPr>
      </w:pPr>
      <w:r>
        <w:rPr>
          <w:rFonts w:ascii="宋体" w:hAnsi="宋体" w:cs="宋体"/>
          <w:kern w:val="0"/>
          <w:sz w:val="24"/>
          <w:szCs w:val="24"/>
        </w:rPr>
        <w:t>7、法律法规及中国证监会规定的和《基金合同》约定的其他义务。</w:t>
      </w:r>
      <w:r>
        <w:rPr>
          <w:rFonts w:ascii="宋体" w:hAnsi="宋体" w:cs="宋体"/>
          <w:kern w:val="0"/>
          <w:sz w:val="24"/>
          <w:szCs w:val="24"/>
        </w:rPr>
        <w:br w:type="page"/>
      </w:r>
    </w:p>
    <w:p>
      <w:pPr>
        <w:pStyle w:val="2"/>
        <w:spacing w:before="0" w:after="0"/>
        <w:jc w:val="center"/>
        <w:rPr>
          <w:rFonts w:ascii="Times New Roman"/>
          <w:color w:val="auto"/>
          <w:sz w:val="30"/>
        </w:rPr>
      </w:pPr>
      <w:bookmarkStart w:id="52" w:name="_Toc256000013"/>
      <w:r>
        <w:rPr>
          <w:rFonts w:ascii="Times New Roman"/>
          <w:color w:val="auto"/>
          <w:sz w:val="30"/>
        </w:rPr>
        <w:t>第十四部分  基金的投资</w:t>
      </w:r>
      <w:bookmarkEnd w:id="52"/>
    </w:p>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一、</w:t>
      </w:r>
      <w:r>
        <w:rPr>
          <w:rFonts w:ascii="宋体" w:hAnsi="宋体" w:cs="宋体"/>
          <w:kern w:val="0"/>
          <w:sz w:val="24"/>
          <w:szCs w:val="24"/>
        </w:rPr>
        <w:t>投资目标</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紧密跟踪标的指数，追求跟踪偏离度和跟踪误差的最小化。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二、</w:t>
      </w:r>
      <w:r>
        <w:rPr>
          <w:rFonts w:ascii="宋体" w:hAnsi="宋体" w:cs="宋体"/>
          <w:kern w:val="0"/>
          <w:sz w:val="24"/>
          <w:szCs w:val="24"/>
        </w:rPr>
        <w:t>投资范围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本基金主要投资于标的指数成份股、备选成份股。为更好地实现投资目标，本基金可少量投资于非成份股（包括主板、创业板</w:t>
      </w:r>
      <w:r>
        <w:rPr>
          <w:rStyle w:val="66"/>
          <w:rFonts w:hint="eastAsia" w:ascii="宋体" w:hAnsi="宋体" w:cs="宋体"/>
          <w:kern w:val="0"/>
          <w:sz w:val="24"/>
          <w:szCs w:val="24"/>
        </w:rPr>
        <w:t>、科创板</w:t>
      </w:r>
      <w:r>
        <w:rPr>
          <w:rStyle w:val="66"/>
          <w:rFonts w:ascii="宋体" w:hAnsi="宋体" w:cs="宋体"/>
          <w:kern w:val="0"/>
          <w:sz w:val="24"/>
          <w:szCs w:val="24"/>
        </w:rPr>
        <w:t>及其他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w:t>
      </w:r>
      <w:r>
        <w:rPr>
          <w:rStyle w:val="66"/>
          <w:rFonts w:hint="eastAsia" w:ascii="宋体" w:hAnsi="宋体" w:cs="宋体"/>
          <w:kern w:val="0"/>
          <w:sz w:val="24"/>
          <w:szCs w:val="24"/>
        </w:rPr>
        <w:t>（</w:t>
      </w:r>
      <w:r>
        <w:rPr>
          <w:rStyle w:val="66"/>
          <w:rFonts w:ascii="宋体" w:hAnsi="宋体" w:cs="宋体"/>
          <w:kern w:val="0"/>
          <w:sz w:val="24"/>
          <w:szCs w:val="24"/>
        </w:rPr>
        <w:t>但须符合中国证监会相关规定</w:t>
      </w:r>
      <w:r>
        <w:rPr>
          <w:rStyle w:val="66"/>
          <w:rFonts w:hint="eastAsia" w:ascii="宋体" w:hAnsi="宋体" w:cs="宋体"/>
          <w:kern w:val="0"/>
          <w:sz w:val="24"/>
          <w:szCs w:val="24"/>
        </w:rPr>
        <w:t>）</w:t>
      </w:r>
      <w:r>
        <w:rPr>
          <w:rStyle w:val="66"/>
          <w:rFonts w:ascii="宋体" w:hAnsi="宋体" w:cs="宋体"/>
          <w:kern w:val="0"/>
          <w:sz w:val="24"/>
          <w:szCs w:val="24"/>
        </w:rPr>
        <w:t>。</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本基金可根据法律法规的规定参与融资及转融通证券出借业务。</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基金的投资组合比例为：投资于标的指数成份股和备选成份股的比例不低于基金资产净值的90%，且不低于非现金基金资产的80%，因法律法规的规定而受限制的情形除外。</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三、</w:t>
      </w:r>
      <w:r>
        <w:rPr>
          <w:rFonts w:ascii="宋体" w:hAnsi="宋体" w:cs="宋体"/>
          <w:kern w:val="0"/>
          <w:sz w:val="24"/>
          <w:szCs w:val="24"/>
        </w:rPr>
        <w:t>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本基金主要采用完全复制法，即完全按照标的指数的成份股组成及其权重构建基金股票投资组合，并根据标的指数成份股及其权重的变化进行相应调整。但在特殊情况（如流动性不足等）</w:t>
      </w:r>
      <w:r>
        <w:rPr>
          <w:rStyle w:val="66"/>
          <w:rFonts w:hint="eastAsia" w:ascii="宋体" w:hAnsi="宋体" w:cs="宋体"/>
          <w:kern w:val="0"/>
          <w:sz w:val="24"/>
          <w:szCs w:val="24"/>
        </w:rPr>
        <w:t>下，</w:t>
      </w:r>
      <w:r>
        <w:rPr>
          <w:rStyle w:val="66"/>
          <w:rFonts w:ascii="宋体" w:hAnsi="宋体" w:cs="宋体"/>
          <w:kern w:val="0"/>
          <w:sz w:val="24"/>
          <w:szCs w:val="24"/>
        </w:rPr>
        <w:t>基金管理人将运用其他合理的投资方法构建本基金的实际投资组合，追求尽可能贴近标的指数的表现。</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特殊情况包括但不限于以下情形：（1）法律法规的限制；（2）标的指数成份股流动性严重不足；（3）标的指数的成份股票长期停牌；</w:t>
      </w:r>
      <w:r>
        <w:rPr>
          <w:rStyle w:val="66"/>
          <w:rFonts w:hint="eastAsia" w:ascii="宋体" w:hAnsi="宋体" w:cs="宋体"/>
          <w:kern w:val="0"/>
          <w:sz w:val="24"/>
          <w:szCs w:val="24"/>
        </w:rPr>
        <w:t>（4）其它基金管理人认定不适合投资的股票或可能严重限制本基金跟踪标的指数的合理原因</w:t>
      </w:r>
      <w:r>
        <w:rPr>
          <w:rStyle w:val="66"/>
          <w:rFonts w:ascii="宋体" w:hAnsi="宋体" w:cs="宋体"/>
          <w:kern w:val="0"/>
          <w:sz w:val="24"/>
          <w:szCs w:val="24"/>
        </w:rPr>
        <w:t>等。</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本基金力争日均跟踪偏离度的绝对值不超过0.2%，年跟踪误差不超过</w:t>
      </w:r>
      <w:r>
        <w:rPr>
          <w:rStyle w:val="71"/>
          <w:rFonts w:ascii="宋体" w:hAnsi="宋体" w:cs="宋体"/>
          <w:kern w:val="0"/>
          <w:sz w:val="24"/>
          <w:szCs w:val="24"/>
        </w:rPr>
        <w:t>2%</w:t>
      </w:r>
      <w:r>
        <w:rPr>
          <w:rStyle w:val="66"/>
          <w:rFonts w:ascii="宋体" w:hAnsi="宋体" w:cs="宋体"/>
          <w:kern w:val="0"/>
          <w:sz w:val="24"/>
          <w:szCs w:val="24"/>
        </w:rPr>
        <w:t>。如因标的指数编制规则调整等其他原因，导致基金跟踪偏离度和跟踪误差超过上述范围，基金管理人应采取合理措施，避免跟踪偏离度和跟踪误差的进一步扩大。</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本基金运作过程中，当标的指数成份股发生明显负面事件面临退市，且指数编制机构暂未作出调整的，基金管理人应当按照基金份额持有人利益优先的原则，履行内部决策程序后及时对相关成份股进行调整。</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1、</w:t>
      </w:r>
      <w:r>
        <w:rPr>
          <w:rStyle w:val="66"/>
          <w:rFonts w:ascii="宋体" w:hAnsi="宋体" w:cs="宋体"/>
          <w:kern w:val="0"/>
          <w:sz w:val="24"/>
          <w:szCs w:val="24"/>
        </w:rPr>
        <w:t>资产配置策略</w:t>
      </w:r>
    </w:p>
    <w:p>
      <w:pPr>
        <w:pStyle w:val="65"/>
        <w:spacing w:line="360" w:lineRule="auto"/>
        <w:ind w:firstLine="480"/>
        <w:jc w:val="left"/>
        <w:rPr>
          <w:rStyle w:val="66"/>
          <w:rFonts w:ascii="宋体" w:hAnsi="宋体" w:cs="宋体"/>
          <w:kern w:val="0"/>
          <w:sz w:val="24"/>
          <w:szCs w:val="24"/>
        </w:rPr>
      </w:pPr>
      <w:r>
        <w:rPr>
          <w:rStyle w:val="66"/>
          <w:rFonts w:hint="eastAsia" w:ascii="宋体" w:hAnsi="宋体" w:cs="宋体"/>
          <w:kern w:val="0"/>
          <w:sz w:val="24"/>
          <w:szCs w:val="24"/>
        </w:rPr>
        <w:t>本基金主要采用完全复制法，即</w:t>
      </w:r>
      <w:r>
        <w:rPr>
          <w:rStyle w:val="66"/>
          <w:rFonts w:ascii="宋体" w:hAnsi="宋体" w:cs="宋体"/>
          <w:kern w:val="0"/>
          <w:sz w:val="24"/>
          <w:szCs w:val="24"/>
        </w:rPr>
        <w:t>完全按照标的指数的成份股组成及其权重构建基金股票投资组合，并根据标的指数成份股及其权重的变化进行相应调整。本基金投资于标的指数成份股和备选成份股的比例不低于基金资产净值的90%，且不低于非现金基金资产的80%，股指期货、国债期货、股票期权及其他金融工具的投资比例依照法律法规或监管机构的规定执行。</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2、</w:t>
      </w:r>
      <w:r>
        <w:rPr>
          <w:rStyle w:val="66"/>
          <w:rFonts w:ascii="宋体" w:hAnsi="宋体" w:cs="宋体"/>
          <w:kern w:val="0"/>
          <w:sz w:val="24"/>
          <w:szCs w:val="24"/>
        </w:rPr>
        <w:t>债券投资策略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管理人将基于对国内外宏观经济形势的深入分析、国内财政政策与货币市场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降低跟踪误差。</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3、</w:t>
      </w:r>
      <w:r>
        <w:rPr>
          <w:rStyle w:val="66"/>
          <w:rFonts w:ascii="宋体" w:hAnsi="宋体" w:cs="宋体"/>
          <w:kern w:val="0"/>
          <w:sz w:val="24"/>
          <w:szCs w:val="24"/>
        </w:rPr>
        <w:t>资产支持证券投资策略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本基金将在宏观经济和基本面分析的基础上，对资产支持证券标的资产的质量和构成、利率风险、信用风险、流动性风险和提前偿付风险等进行分析，评估其相对投资价值并作出相应的投资决策。</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4、金融衍生工具投资策略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本基金将基于谨慎原则运用金融衍生工具对基金投资组合进行管理，以控制并降低投资组合风险、提高投资效率，降低跟踪误差，从而更好地实现本基金的投资目标。</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本基金将根据风险管理的原则，以套期保值为目的，主要选择流动性好、交易活跃的股指期货合约进行投资，以降低交易成本，提高投资效率，从而更好地跟踪标的指数。</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本基金将根据风险管理的原则，以套期保值为目的，结合对宏观经济形势和政策趋势的判断、对债券市场进行定性和定量分析，充分考虑国债期货流动性和风险收益特征，参与国债期货的投资。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本基金将根据风险管理的原则，以套期保值为主要目的，参与股票期权交易。本基金将结合投资目标、比例限制、风险收益特征以及法律法规的相关限定和要求，确定参与股票期权交易的投资时机和投资比例。</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影响的情况下，无需召开基金份额持有人大会。</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5、参与融资投资策略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将在充分考虑风险和收益特征的基础上，审慎参与融资。本基金将基于对市场行情和组合风险收益的分析，确定投资时机、标的证券以及投资比例。若相关融资业务法律法规和监管要求发生变化，本基金将从其最新规定，以符合上述法律法规和监管要求的变化。</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6、参与转融通证券出借业务策略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7、存托凭证的投资策略</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本基金在综合考虑预期收益、风险、流动性等因素的基础上，根据审慎原则合理参与存托凭证的投资。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四、</w:t>
      </w:r>
      <w:r>
        <w:rPr>
          <w:rFonts w:ascii="宋体" w:hAnsi="宋体" w:cs="宋体"/>
          <w:kern w:val="0"/>
          <w:sz w:val="24"/>
          <w:szCs w:val="24"/>
        </w:rPr>
        <w:t>投资限制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基金的投资组合应遵循以下限制：</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（1）本基金投资于标的指数成份股和备选成份股的比例不低于基金资产净值的90%，且不低于非现金基金资产的80%；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（2）本基金投资于同一原始权益人的各类资产支持证券的比例，不得超过基金资产净值的10%；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（3）本基金持有的全部资产支持证券，其市值不得超过基金资产净值的20%；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（4）本基金持有的同一</w:t>
      </w:r>
      <w:r>
        <w:rPr>
          <w:rStyle w:val="66"/>
          <w:rFonts w:hint="eastAsia" w:ascii="宋体" w:hAnsi="宋体" w:cs="宋体"/>
          <w:kern w:val="0"/>
          <w:sz w:val="24"/>
          <w:szCs w:val="24"/>
        </w:rPr>
        <w:t>（</w:t>
      </w:r>
      <w:r>
        <w:rPr>
          <w:rStyle w:val="66"/>
          <w:rFonts w:ascii="宋体" w:hAnsi="宋体" w:cs="宋体"/>
          <w:kern w:val="0"/>
          <w:sz w:val="24"/>
          <w:szCs w:val="24"/>
        </w:rPr>
        <w:t>指同一信用级别</w:t>
      </w:r>
      <w:r>
        <w:rPr>
          <w:rStyle w:val="66"/>
          <w:rFonts w:hint="eastAsia" w:ascii="宋体" w:hAnsi="宋体" w:cs="宋体"/>
          <w:kern w:val="0"/>
          <w:sz w:val="24"/>
          <w:szCs w:val="24"/>
        </w:rPr>
        <w:t>）</w:t>
      </w:r>
      <w:r>
        <w:rPr>
          <w:rStyle w:val="66"/>
          <w:rFonts w:ascii="宋体" w:hAnsi="宋体" w:cs="宋体"/>
          <w:kern w:val="0"/>
          <w:sz w:val="24"/>
          <w:szCs w:val="24"/>
        </w:rPr>
        <w:t>资产支持证券的比例，不得超过该资产支持证券规模的10%；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（5）本基金管理人管理的全部基金投资于同一原始权益人的各类资产支持证券，不得超过其各类资产支持证券合计规模的10%；</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（6）</w:t>
      </w:r>
      <w:r>
        <w:rPr>
          <w:rStyle w:val="66"/>
          <w:rFonts w:ascii="宋体" w:hAnsi="宋体" w:cs="宋体"/>
          <w:kern w:val="0"/>
          <w:sz w:val="24"/>
          <w:szCs w:val="24"/>
        </w:rPr>
        <w:t>本基金应投资于信用级别评级为BBB以上</w:t>
      </w:r>
      <w:r>
        <w:rPr>
          <w:rStyle w:val="66"/>
          <w:rFonts w:hint="eastAsia" w:ascii="宋体" w:hAnsi="宋体" w:cs="宋体"/>
          <w:kern w:val="0"/>
          <w:sz w:val="24"/>
          <w:szCs w:val="24"/>
        </w:rPr>
        <w:t>（</w:t>
      </w:r>
      <w:r>
        <w:rPr>
          <w:rStyle w:val="66"/>
          <w:rFonts w:ascii="宋体" w:hAnsi="宋体" w:cs="宋体"/>
          <w:kern w:val="0"/>
          <w:sz w:val="24"/>
          <w:szCs w:val="24"/>
        </w:rPr>
        <w:t>含BBB</w:t>
      </w:r>
      <w:r>
        <w:rPr>
          <w:rStyle w:val="66"/>
          <w:rFonts w:hint="eastAsia" w:ascii="宋体" w:hAnsi="宋体" w:cs="宋体"/>
          <w:kern w:val="0"/>
          <w:sz w:val="24"/>
          <w:szCs w:val="24"/>
        </w:rPr>
        <w:t>）</w:t>
      </w:r>
      <w:r>
        <w:rPr>
          <w:rStyle w:val="66"/>
          <w:rFonts w:ascii="宋体" w:hAnsi="宋体" w:cs="宋体"/>
          <w:kern w:val="0"/>
          <w:sz w:val="24"/>
          <w:szCs w:val="24"/>
        </w:rPr>
        <w:t>的资产支持证券。基金持有资产支持证券期间，如果其信用等级下降、不再符合投资标准，应在评级报告发布之日起3个月内予以全部卖出；</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（8）本基金参与股指期货和国债期货交易的，应当遵守下列要求：</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1）本基金在任何交易日日终，持有的买入股指期货合约价值，不得超过基金资产净值的10%；持有的买入国债期货合约价值，不得超过基金资产净值的15%；</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3）本基金在任何交易日日终，持有的卖出股指期货合约价值不得超过基金持有的股票总市值的20%；持有的卖出国债期货合约价值不得超过基金持有的债券总市值的30%；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9）因未平仓的股票期权合约支付和收取的权利金总额不得超过基金资产净值的10%；开仓卖出认购股票期权的，应持有足额标的证券；开仓卖出认沽股票期权的，应持有合约行权所需的全额现金或交易所规则认可的可冲抵期权保证金的现金等价物；未平仓的股票期权合约面值不得超过基金资产净值的20%。其中，合约面值按照行权价乘以合约乘数计算；</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（10）本基金参与融资的，每个交易日日终，本基金持有的融资买入股票与其他有价证券市值之和，不得超过基金资产净值的95%；</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（11）</w:t>
      </w:r>
      <w:r>
        <w:rPr>
          <w:rStyle w:val="66"/>
          <w:rFonts w:ascii="宋体" w:hAnsi="宋体" w:cs="宋体"/>
          <w:kern w:val="0"/>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（12）</w:t>
      </w:r>
      <w:r>
        <w:rPr>
          <w:rStyle w:val="66"/>
          <w:rFonts w:ascii="宋体" w:hAnsi="宋体" w:cs="宋体"/>
          <w:kern w:val="0"/>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（13）</w:t>
      </w:r>
      <w:r>
        <w:rPr>
          <w:rStyle w:val="66"/>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（14）本基金资产总值不超过基金资产净值的140%；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（15）本基金投资存托凭证的比例限制依照境内上市交易的股票执行；</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（16）法律法规及中国证监会规定的和《基金合同》约定的其他投资限制。</w:t>
      </w:r>
    </w:p>
    <w:p>
      <w:pPr>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除上述第</w:t>
      </w:r>
      <w:r>
        <w:rPr>
          <w:rStyle w:val="67"/>
          <w:rFonts w:ascii="宋体" w:hAnsi="宋体" w:cs="宋体"/>
          <w:kern w:val="0"/>
          <w:sz w:val="24"/>
          <w:szCs w:val="24"/>
        </w:rPr>
        <w:t>（6）</w:t>
      </w:r>
      <w:r>
        <w:rPr>
          <w:rStyle w:val="66"/>
          <w:rFonts w:ascii="宋体" w:hAnsi="宋体" w:cs="宋体"/>
          <w:kern w:val="0"/>
          <w:sz w:val="24"/>
          <w:szCs w:val="24"/>
        </w:rPr>
        <w:t>、</w:t>
      </w:r>
      <w:r>
        <w:rPr>
          <w:rStyle w:val="67"/>
          <w:rFonts w:ascii="宋体" w:hAnsi="宋体" w:cs="宋体"/>
          <w:kern w:val="0"/>
          <w:sz w:val="24"/>
          <w:szCs w:val="24"/>
        </w:rPr>
        <w:t>（11）</w:t>
      </w:r>
      <w:r>
        <w:rPr>
          <w:rStyle w:val="66"/>
          <w:rFonts w:ascii="宋体" w:hAnsi="宋体" w:cs="宋体"/>
          <w:kern w:val="0"/>
          <w:sz w:val="24"/>
          <w:szCs w:val="24"/>
        </w:rPr>
        <w:t>、</w:t>
      </w:r>
      <w:r>
        <w:rPr>
          <w:rStyle w:val="67"/>
          <w:rFonts w:ascii="宋体" w:hAnsi="宋体" w:cs="宋体"/>
          <w:kern w:val="0"/>
          <w:sz w:val="24"/>
          <w:szCs w:val="24"/>
        </w:rPr>
        <w:t>（12）</w:t>
      </w:r>
      <w:r>
        <w:rPr>
          <w:rStyle w:val="66"/>
          <w:rFonts w:ascii="宋体" w:hAnsi="宋体" w:cs="宋体"/>
          <w:kern w:val="0"/>
          <w:sz w:val="24"/>
          <w:szCs w:val="24"/>
        </w:rPr>
        <w:t>、</w:t>
      </w:r>
      <w:r>
        <w:rPr>
          <w:rStyle w:val="67"/>
          <w:rFonts w:ascii="宋体" w:hAnsi="宋体" w:cs="宋体"/>
          <w:kern w:val="0"/>
          <w:sz w:val="24"/>
          <w:szCs w:val="24"/>
        </w:rPr>
        <w:t>（13）</w:t>
      </w:r>
      <w:r>
        <w:rPr>
          <w:rStyle w:val="66"/>
          <w:rFonts w:ascii="宋体" w:hAnsi="宋体" w:cs="宋体"/>
          <w:kern w:val="0"/>
          <w:sz w:val="24"/>
          <w:szCs w:val="24"/>
        </w:rPr>
        <w:t>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11）项规定的，基金管理人不得新增出借业务。法律法规另有规定的从其规定。</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为维护基金份额持有人的合法权益，基金财产不得用于下列投资或者活动：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（1）承销证券；</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（2）违反规定向他人贷款或者提供担保；</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（3）从事承担无限责任的投资；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（4）买卖其他基金份额，但是法律法规或中国证监会另有规定的除外；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（5）向其基金管理人、基金托管人出资；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（6）从事内幕交易、操纵证券交易价格及其他不正当的证券交易活动；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（7）法律、行政法规和中国证监会规定禁止的其他活动。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五、</w:t>
      </w:r>
      <w:r>
        <w:rPr>
          <w:rFonts w:ascii="宋体" w:hAnsi="宋体" w:cs="宋体"/>
          <w:kern w:val="0"/>
          <w:sz w:val="24"/>
          <w:szCs w:val="24"/>
        </w:rPr>
        <w:t>业绩比较基准</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本基金业绩比较基准为标的指数收益率，即中证家电龙头指数收益率。</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未来若出现标的指数不符合要求（因成份股价格波动等指数编制方法变动之外的因素致使标的指数不符合要求的情形除外）</w:t>
      </w:r>
      <w:r>
        <w:rPr>
          <w:rFonts w:ascii="宋体" w:hAnsi="宋体" w:cs="宋体"/>
          <w:kern w:val="0"/>
          <w:sz w:val="24"/>
          <w:szCs w:val="24"/>
        </w:rPr>
        <w:t>、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法律法规或监管机构另有规定的，从其规定。</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如本基金标的指数变化，则业绩比较基准中的标的指数将相应调整。业绩比较基准的调整根据标的指数的变更程序执行。</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六、</w:t>
      </w:r>
      <w:r>
        <w:rPr>
          <w:rFonts w:ascii="宋体" w:hAnsi="宋体" w:cs="宋体"/>
          <w:kern w:val="0"/>
          <w:sz w:val="24"/>
          <w:szCs w:val="24"/>
        </w:rPr>
        <w:t>风险收益特征</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本基金属于股票型基金，其预期的风险与收益高于混合型基金、债券型基金与货币市场基金。同时本基金为指数基金，主要采用完全复制法跟踪标的指数表现，具有与标的指数相似的风险收益特征。</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七、基金管理人代表基金行使股东或债权人权利的处理原则及方法</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1、基金管理人按照国家有关规定代表基金独立行使股东或债权人权利，保护基金份额持有人的利益；</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2、不谋求对上市公司的控股；</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有利于基金财产的安全与增值；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r>
        <w:rPr>
          <w:rFonts w:ascii="宋体" w:hAnsi="宋体" w:cs="宋体"/>
          <w:kern w:val="0"/>
          <w:sz w:val="24"/>
          <w:szCs w:val="24"/>
        </w:rPr>
        <w:br w:type="page"/>
      </w:r>
    </w:p>
    <w:p>
      <w:pPr>
        <w:pStyle w:val="2"/>
        <w:spacing w:before="0" w:after="0"/>
        <w:jc w:val="center"/>
        <w:rPr>
          <w:rFonts w:ascii="Times New Roman"/>
          <w:color w:val="auto"/>
          <w:sz w:val="30"/>
        </w:rPr>
      </w:pPr>
      <w:bookmarkStart w:id="53" w:name="_Toc256000014"/>
      <w:r>
        <w:rPr>
          <w:rFonts w:ascii="Times New Roman"/>
          <w:color w:val="auto"/>
          <w:sz w:val="30"/>
        </w:rPr>
        <w:t>第十五部分  基金的财产</w:t>
      </w:r>
      <w:bookmarkEnd w:id="53"/>
    </w:p>
    <w:p/>
    <w:p>
      <w:pPr>
        <w:pStyle w:val="65"/>
        <w:spacing w:line="360" w:lineRule="auto"/>
        <w:ind w:firstLine="480"/>
        <w:rPr>
          <w:rFonts w:eastAsia="Times New Roman"/>
          <w:kern w:val="0"/>
          <w:sz w:val="24"/>
          <w:szCs w:val="24"/>
        </w:rPr>
      </w:pPr>
      <w:r>
        <w:rPr>
          <w:rFonts w:ascii="宋体" w:hAnsi="宋体" w:cs="宋体"/>
          <w:kern w:val="0"/>
          <w:sz w:val="24"/>
          <w:szCs w:val="24"/>
        </w:rPr>
        <w:t>一、基金资产总值</w:t>
      </w:r>
    </w:p>
    <w:p>
      <w:pPr>
        <w:pStyle w:val="65"/>
        <w:spacing w:line="360" w:lineRule="auto"/>
        <w:ind w:firstLine="480"/>
        <w:rPr>
          <w:rFonts w:eastAsia="Times New Roman"/>
          <w:kern w:val="0"/>
          <w:sz w:val="24"/>
          <w:szCs w:val="24"/>
        </w:rPr>
      </w:pPr>
      <w:r>
        <w:rPr>
          <w:rFonts w:ascii="宋体" w:hAnsi="宋体" w:cs="宋体"/>
          <w:kern w:val="0"/>
          <w:sz w:val="24"/>
          <w:szCs w:val="24"/>
        </w:rPr>
        <w:t>基金资产总值是指购买的各类有价证券及票据价值、银行存款本息和基金应收的申购基金款以及其他投资所形成的价值总和。</w:t>
      </w:r>
    </w:p>
    <w:p>
      <w:pPr>
        <w:pStyle w:val="65"/>
        <w:spacing w:line="360" w:lineRule="auto"/>
        <w:ind w:firstLine="480"/>
        <w:rPr>
          <w:rFonts w:eastAsia="Times New Roman"/>
          <w:kern w:val="0"/>
          <w:sz w:val="24"/>
          <w:szCs w:val="24"/>
        </w:rPr>
      </w:pPr>
      <w:r>
        <w:rPr>
          <w:rFonts w:ascii="宋体" w:hAnsi="宋体" w:cs="宋体"/>
          <w:kern w:val="0"/>
          <w:sz w:val="24"/>
          <w:szCs w:val="24"/>
        </w:rPr>
        <w:t>二、基金资产净值</w:t>
      </w:r>
    </w:p>
    <w:p>
      <w:pPr>
        <w:pStyle w:val="65"/>
        <w:spacing w:line="360" w:lineRule="auto"/>
        <w:ind w:firstLine="480"/>
        <w:rPr>
          <w:rFonts w:eastAsia="Times New Roman"/>
          <w:kern w:val="0"/>
          <w:sz w:val="24"/>
          <w:szCs w:val="24"/>
        </w:rPr>
      </w:pPr>
      <w:r>
        <w:rPr>
          <w:rFonts w:ascii="宋体" w:hAnsi="宋体" w:cs="宋体"/>
          <w:kern w:val="0"/>
          <w:sz w:val="24"/>
          <w:szCs w:val="24"/>
        </w:rPr>
        <w:t>基金资产净值是指基金资产总值减去基金负债后的价值。</w:t>
      </w:r>
    </w:p>
    <w:p>
      <w:pPr>
        <w:pStyle w:val="65"/>
        <w:spacing w:line="360" w:lineRule="auto"/>
        <w:ind w:firstLine="480"/>
        <w:rPr>
          <w:rFonts w:eastAsia="Times New Roman"/>
          <w:kern w:val="0"/>
          <w:sz w:val="24"/>
          <w:szCs w:val="24"/>
        </w:rPr>
      </w:pPr>
      <w:r>
        <w:rPr>
          <w:rFonts w:ascii="宋体" w:hAnsi="宋体" w:cs="宋体"/>
          <w:kern w:val="0"/>
          <w:sz w:val="24"/>
          <w:szCs w:val="24"/>
        </w:rPr>
        <w:t>三、基金财产的账户</w:t>
      </w:r>
    </w:p>
    <w:p>
      <w:pPr>
        <w:pStyle w:val="65"/>
        <w:spacing w:line="360" w:lineRule="auto"/>
        <w:ind w:firstLine="48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pStyle w:val="65"/>
        <w:spacing w:line="360" w:lineRule="auto"/>
        <w:ind w:firstLine="480"/>
        <w:rPr>
          <w:rFonts w:eastAsia="Times New Roman"/>
          <w:kern w:val="0"/>
          <w:sz w:val="24"/>
          <w:szCs w:val="24"/>
        </w:rPr>
      </w:pPr>
      <w:r>
        <w:rPr>
          <w:rFonts w:ascii="宋体" w:hAnsi="宋体" w:cs="宋体"/>
          <w:kern w:val="0"/>
          <w:sz w:val="24"/>
          <w:szCs w:val="24"/>
        </w:rPr>
        <w:t>四、基金财产的保管和处分</w:t>
      </w:r>
    </w:p>
    <w:p>
      <w:pPr>
        <w:pStyle w:val="65"/>
        <w:spacing w:line="360" w:lineRule="auto"/>
        <w:ind w:firstLine="48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r>
        <w:rPr>
          <w:rFonts w:ascii="宋体" w:hAnsi="宋体" w:cs="宋体"/>
          <w:kern w:val="0"/>
          <w:sz w:val="24"/>
          <w:szCs w:val="24"/>
        </w:rPr>
        <w:br w:type="page"/>
      </w:r>
    </w:p>
    <w:p>
      <w:pPr>
        <w:pStyle w:val="2"/>
        <w:spacing w:before="0" w:after="0"/>
        <w:jc w:val="center"/>
        <w:rPr>
          <w:rFonts w:ascii="Times New Roman"/>
          <w:color w:val="auto"/>
          <w:sz w:val="30"/>
        </w:rPr>
      </w:pPr>
      <w:bookmarkStart w:id="54" w:name="_Toc256000015"/>
      <w:r>
        <w:rPr>
          <w:rFonts w:ascii="Times New Roman"/>
          <w:color w:val="auto"/>
          <w:sz w:val="30"/>
        </w:rPr>
        <w:t>第十六部分  基金资产估值</w:t>
      </w:r>
      <w:bookmarkEnd w:id="54"/>
    </w:p>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一、</w:t>
      </w:r>
      <w:r>
        <w:rPr>
          <w:rFonts w:ascii="宋体" w:hAnsi="宋体" w:cs="宋体"/>
          <w:kern w:val="0"/>
          <w:sz w:val="24"/>
          <w:szCs w:val="24"/>
        </w:rPr>
        <w:t>估值日</w:t>
      </w:r>
    </w:p>
    <w:p>
      <w:pPr>
        <w:pStyle w:val="65"/>
        <w:spacing w:line="360" w:lineRule="auto"/>
        <w:ind w:firstLine="48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本基金的估值日为本基金相关的证券交易场所的交易日以及国家法律法规规定需要对外披露基金净值的非交易日。</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二、</w:t>
      </w:r>
      <w:r>
        <w:rPr>
          <w:rFonts w:ascii="宋体" w:hAnsi="宋体" w:cs="宋体"/>
          <w:kern w:val="0"/>
          <w:sz w:val="24"/>
          <w:szCs w:val="24"/>
        </w:rPr>
        <w:t>估值对象</w:t>
      </w:r>
    </w:p>
    <w:p>
      <w:pPr>
        <w:pStyle w:val="65"/>
        <w:spacing w:line="360" w:lineRule="auto"/>
        <w:ind w:firstLine="480"/>
        <w:rPr>
          <w:rFonts w:eastAsia="Times New Roman"/>
          <w:kern w:val="0"/>
          <w:sz w:val="24"/>
          <w:szCs w:val="24"/>
        </w:rPr>
      </w:pPr>
      <w:r>
        <w:rPr>
          <w:rFonts w:ascii="宋体" w:hAnsi="宋体" w:cs="宋体"/>
          <w:kern w:val="0"/>
          <w:sz w:val="24"/>
          <w:szCs w:val="24"/>
        </w:rPr>
        <w:t>基金所拥有的</w:t>
      </w:r>
      <w:r>
        <w:rPr>
          <w:rStyle w:val="66"/>
          <w:rFonts w:ascii="宋体" w:hAnsi="宋体" w:cs="宋体"/>
          <w:kern w:val="0"/>
          <w:sz w:val="24"/>
          <w:szCs w:val="24"/>
        </w:rPr>
        <w:t>股票、</w:t>
      </w:r>
      <w:r>
        <w:rPr>
          <w:rFonts w:ascii="宋体" w:hAnsi="宋体" w:cs="宋体"/>
          <w:kern w:val="0"/>
          <w:sz w:val="24"/>
          <w:szCs w:val="24"/>
        </w:rPr>
        <w:t>债券</w:t>
      </w:r>
      <w:r>
        <w:rPr>
          <w:rStyle w:val="66"/>
          <w:rFonts w:ascii="宋体" w:hAnsi="宋体" w:cs="宋体"/>
          <w:kern w:val="0"/>
          <w:sz w:val="24"/>
          <w:szCs w:val="24"/>
        </w:rPr>
        <w:t>、股指期货合约、国债期货合约、股票期权合约、资产支持证券</w:t>
      </w:r>
      <w:r>
        <w:rPr>
          <w:rFonts w:ascii="宋体" w:hAnsi="宋体" w:cs="宋体"/>
          <w:kern w:val="0"/>
          <w:sz w:val="24"/>
          <w:szCs w:val="24"/>
        </w:rPr>
        <w:t>和银行存款本息、应收款项、其它投资等资产及负债。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三、</w:t>
      </w:r>
      <w:r>
        <w:rPr>
          <w:rFonts w:ascii="宋体" w:hAnsi="宋体" w:cs="宋体"/>
          <w:kern w:val="0"/>
          <w:sz w:val="24"/>
          <w:szCs w:val="24"/>
        </w:rPr>
        <w:t>估值原则</w:t>
      </w:r>
    </w:p>
    <w:p>
      <w:pPr>
        <w:pStyle w:val="65"/>
        <w:spacing w:line="360" w:lineRule="auto"/>
        <w:ind w:firstLine="48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pPr>
        <w:pStyle w:val="65"/>
        <w:spacing w:line="360" w:lineRule="auto"/>
        <w:ind w:firstLine="480"/>
        <w:rPr>
          <w:rFonts w:eastAsia="Times New Roman"/>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pStyle w:val="65"/>
        <w:spacing w:line="360" w:lineRule="auto"/>
        <w:ind w:firstLine="480"/>
        <w:rPr>
          <w:rFonts w:eastAsia="Times New Roman"/>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pStyle w:val="65"/>
        <w:spacing w:line="360" w:lineRule="auto"/>
        <w:ind w:firstLine="480"/>
        <w:rPr>
          <w:rFonts w:eastAsia="Times New Roman"/>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pStyle w:val="65"/>
        <w:spacing w:line="360" w:lineRule="auto"/>
        <w:ind w:firstLine="480"/>
        <w:rPr>
          <w:rFonts w:eastAsia="Times New Roman"/>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四、</w:t>
      </w:r>
      <w:r>
        <w:rPr>
          <w:rFonts w:ascii="宋体" w:hAnsi="宋体" w:cs="宋体"/>
          <w:kern w:val="0"/>
          <w:sz w:val="24"/>
          <w:szCs w:val="24"/>
        </w:rPr>
        <w:t>估值方法</w:t>
      </w:r>
    </w:p>
    <w:p>
      <w:pPr>
        <w:pStyle w:val="65"/>
        <w:spacing w:line="360" w:lineRule="auto"/>
        <w:ind w:firstLine="480"/>
        <w:rPr>
          <w:rStyle w:val="66"/>
          <w:rFonts w:ascii="宋体" w:hAnsi="宋体" w:cs="宋体"/>
          <w:kern w:val="0"/>
          <w:sz w:val="24"/>
          <w:szCs w:val="24"/>
        </w:rPr>
      </w:pPr>
      <w:r>
        <w:rPr>
          <w:rStyle w:val="69"/>
          <w:rFonts w:ascii="宋体" w:hAnsi="宋体" w:cs="宋体"/>
          <w:kern w:val="0"/>
          <w:sz w:val="24"/>
          <w:szCs w:val="24"/>
        </w:rPr>
        <w:t>1、</w:t>
      </w:r>
      <w:r>
        <w:rPr>
          <w:rStyle w:val="66"/>
          <w:rFonts w:ascii="宋体" w:hAnsi="宋体" w:cs="宋体"/>
          <w:kern w:val="0"/>
          <w:sz w:val="24"/>
          <w:szCs w:val="24"/>
        </w:rPr>
        <w:t>证券交易所上市的有价证券的估值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（2）交易所上市不存在活跃市场的有价证券，采用估值技术确定公允价值。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2、处于未上市期间的有价证券应区分如下情况处理：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（1）送股、转增股、配股和公开增发的新股，按估值日在证券交易所挂牌的同一股票的估值方法估值；该日无交易的，以最近一日的市价（收盘价）估值；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（2）首次公开发行未上市的股票，采用估值技术确定公允价值，在估值技术难以可靠计量公允价值的情况下，按成本估值；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以公允价值计量的固定收益品种</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对于已上市或已挂牌转让的不含权固定收益品种，选取第三方估值基准服务机构提供的相应品种当日的估值全价；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对于已上市或已挂牌转让的含权固定收益品种，选取第三方估值基准服务机构提供的相应品种当日的唯一估值全价或推荐估值全价；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同一证券同时在两个或两个以上市场交易的，按证券所处的市场分别估值。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pPr>
        <w:widowControl/>
        <w:spacing w:line="360" w:lineRule="auto"/>
        <w:ind w:firstLine="480"/>
        <w:jc w:val="left"/>
        <w:rPr>
          <w:rStyle w:val="69"/>
          <w:rFonts w:ascii="宋体" w:hAnsi="宋体" w:cs="宋体"/>
          <w:kern w:val="0"/>
          <w:sz w:val="24"/>
          <w:szCs w:val="24"/>
        </w:rPr>
      </w:pPr>
      <w:r>
        <w:rPr>
          <w:rStyle w:val="69"/>
          <w:rFonts w:ascii="宋体" w:hAnsi="宋体" w:cs="宋体"/>
          <w:kern w:val="0"/>
          <w:sz w:val="24"/>
          <w:szCs w:val="24"/>
        </w:rPr>
        <w:t>7、</w:t>
      </w:r>
      <w:r>
        <w:rPr>
          <w:rStyle w:val="66"/>
          <w:rFonts w:ascii="宋体" w:hAnsi="宋体" w:cs="宋体"/>
          <w:kern w:val="0"/>
          <w:sz w:val="24"/>
          <w:szCs w:val="24"/>
        </w:rPr>
        <w:t>本基金投资股票期权合约，一般以股票期权估值日的结算价进行估值，估值当日无结算价的，且最近交易日后经济环境未发生重大变化的，采用最近交易日结算价估值。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8、本基金投资国债期货合约，</w:t>
      </w:r>
      <w:r>
        <w:rPr>
          <w:rStyle w:val="66"/>
          <w:rFonts w:hint="eastAsia" w:ascii="宋体" w:hAnsi="宋体" w:cs="宋体"/>
          <w:kern w:val="0"/>
          <w:sz w:val="24"/>
          <w:szCs w:val="24"/>
        </w:rPr>
        <w:t>一般以国债期货估值日的结算价进行估值</w:t>
      </w:r>
      <w:r>
        <w:rPr>
          <w:rStyle w:val="66"/>
          <w:rFonts w:ascii="宋体" w:hAnsi="宋体" w:cs="宋体"/>
          <w:kern w:val="0"/>
          <w:sz w:val="24"/>
          <w:szCs w:val="24"/>
        </w:rPr>
        <w:t>，估值当日无结算价的，且最近交易日后经济环境未发生重大变化的，采用最近交易日结算价估值。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9、本基金投资存托凭证的估值核算，依照境内上市交易的股票进行。</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10、本基金参与融资和转融通证券出借业务的，按照相关法律法规和行业协会的相关规定进行估值。</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11、</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12、</w:t>
      </w:r>
      <w:r>
        <w:rPr>
          <w:rFonts w:ascii="宋体" w:hAnsi="宋体" w:cs="宋体"/>
          <w:kern w:val="0"/>
          <w:sz w:val="24"/>
          <w:szCs w:val="24"/>
        </w:rPr>
        <w:t>相关法律法规以及监管部门有强制规定的，从其规定。如有新增事项，按国家最新规定估值。</w:t>
      </w:r>
    </w:p>
    <w:p>
      <w:pPr>
        <w:pStyle w:val="65"/>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pStyle w:val="65"/>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五、</w:t>
      </w:r>
      <w:r>
        <w:rPr>
          <w:rFonts w:ascii="宋体" w:hAnsi="宋体" w:cs="宋体"/>
          <w:kern w:val="0"/>
          <w:sz w:val="24"/>
          <w:szCs w:val="24"/>
        </w:rPr>
        <w:t>估值程序</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基金管理人每个估值日计算基金资产净值及基金份额净值，并按规定公告。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六、</w:t>
      </w:r>
      <w:r>
        <w:rPr>
          <w:rFonts w:ascii="宋体" w:hAnsi="宋体" w:cs="宋体"/>
          <w:kern w:val="0"/>
          <w:sz w:val="24"/>
          <w:szCs w:val="24"/>
        </w:rPr>
        <w:t>估值错误的处理</w:t>
      </w:r>
    </w:p>
    <w:p>
      <w:pPr>
        <w:pStyle w:val="65"/>
        <w:spacing w:line="360" w:lineRule="auto"/>
        <w:ind w:firstLine="48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基金管理人和基金托管人将采取必要、适当、合理的措施确保基金资产估值的准确性、及时性。当基金份额净值小数点后4位以内</w:t>
      </w:r>
      <w:r>
        <w:rPr>
          <w:rFonts w:hint="eastAsia" w:ascii="宋体" w:hAnsi="宋体" w:cs="宋体"/>
          <w:kern w:val="0"/>
          <w:sz w:val="24"/>
          <w:szCs w:val="24"/>
        </w:rPr>
        <w:t>（</w:t>
      </w:r>
      <w:r>
        <w:rPr>
          <w:rFonts w:ascii="宋体" w:hAnsi="宋体" w:cs="宋体"/>
          <w:kern w:val="0"/>
          <w:sz w:val="24"/>
          <w:szCs w:val="24"/>
        </w:rPr>
        <w:t>含第4位</w:t>
      </w:r>
      <w:r>
        <w:rPr>
          <w:rFonts w:hint="eastAsia" w:ascii="宋体" w:hAnsi="宋体" w:cs="宋体"/>
          <w:kern w:val="0"/>
          <w:sz w:val="24"/>
          <w:szCs w:val="24"/>
        </w:rPr>
        <w:t>）</w:t>
      </w:r>
      <w:r>
        <w:rPr>
          <w:rFonts w:ascii="宋体" w:hAnsi="宋体" w:cs="宋体"/>
          <w:kern w:val="0"/>
          <w:sz w:val="24"/>
          <w:szCs w:val="24"/>
        </w:rPr>
        <w:t>发生估值错误时，视为基金份额净值错误。</w:t>
      </w:r>
    </w:p>
    <w:p>
      <w:pPr>
        <w:pStyle w:val="65"/>
        <w:spacing w:line="360" w:lineRule="auto"/>
        <w:ind w:firstLine="480"/>
        <w:rPr>
          <w:rFonts w:eastAsia="Times New Roman"/>
          <w:kern w:val="0"/>
          <w:sz w:val="24"/>
          <w:szCs w:val="24"/>
        </w:rPr>
      </w:pPr>
      <w:r>
        <w:rPr>
          <w:rFonts w:ascii="宋体" w:hAnsi="宋体" w:cs="宋体"/>
          <w:kern w:val="0"/>
          <w:sz w:val="24"/>
          <w:szCs w:val="24"/>
        </w:rPr>
        <w:t>本基金合同的当事人应按照以下约定处理：</w:t>
      </w:r>
    </w:p>
    <w:p>
      <w:pPr>
        <w:pStyle w:val="65"/>
        <w:spacing w:line="360" w:lineRule="auto"/>
        <w:ind w:firstLine="480"/>
        <w:rPr>
          <w:rFonts w:eastAsia="Times New Roman"/>
          <w:kern w:val="0"/>
          <w:sz w:val="24"/>
          <w:szCs w:val="24"/>
        </w:rPr>
      </w:pPr>
      <w:r>
        <w:rPr>
          <w:rFonts w:ascii="宋体" w:hAnsi="宋体" w:cs="宋体"/>
          <w:kern w:val="0"/>
          <w:sz w:val="24"/>
          <w:szCs w:val="24"/>
        </w:rPr>
        <w:t>1、估值错误类型</w:t>
      </w:r>
    </w:p>
    <w:p>
      <w:pPr>
        <w:pStyle w:val="65"/>
        <w:spacing w:line="360" w:lineRule="auto"/>
        <w:ind w:firstLine="48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ascii="宋体" w:hAnsi="宋体" w:cs="宋体"/>
          <w:kern w:val="0"/>
          <w:sz w:val="24"/>
          <w:szCs w:val="24"/>
        </w:rPr>
        <w:t>（</w:t>
      </w:r>
      <w:r>
        <w:rPr>
          <w:rFonts w:ascii="宋体" w:hAnsi="宋体" w:cs="宋体"/>
          <w:kern w:val="0"/>
          <w:sz w:val="24"/>
          <w:szCs w:val="24"/>
        </w:rPr>
        <w:t>“受损方”</w:t>
      </w:r>
      <w:r>
        <w:rPr>
          <w:rFonts w:hint="eastAsia" w:ascii="宋体" w:hAnsi="宋体" w:cs="宋体"/>
          <w:kern w:val="0"/>
          <w:sz w:val="24"/>
          <w:szCs w:val="24"/>
        </w:rPr>
        <w:t>）</w:t>
      </w:r>
      <w:r>
        <w:rPr>
          <w:rFonts w:ascii="宋体" w:hAnsi="宋体" w:cs="宋体"/>
          <w:kern w:val="0"/>
          <w:sz w:val="24"/>
          <w:szCs w:val="24"/>
        </w:rPr>
        <w:t>的直接损失按下述“估值错误处理原则”给予赔偿，承担赔偿责任。</w:t>
      </w:r>
    </w:p>
    <w:p>
      <w:pPr>
        <w:pStyle w:val="65"/>
        <w:spacing w:line="360" w:lineRule="auto"/>
        <w:ind w:firstLine="48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pPr>
        <w:pStyle w:val="65"/>
        <w:spacing w:line="360" w:lineRule="auto"/>
        <w:ind w:firstLine="480"/>
        <w:rPr>
          <w:rFonts w:eastAsia="Times New Roman"/>
          <w:kern w:val="0"/>
          <w:sz w:val="24"/>
          <w:szCs w:val="24"/>
        </w:rPr>
      </w:pPr>
      <w:r>
        <w:rPr>
          <w:rFonts w:ascii="宋体" w:hAnsi="宋体" w:cs="宋体"/>
          <w:kern w:val="0"/>
          <w:sz w:val="24"/>
          <w:szCs w:val="24"/>
        </w:rPr>
        <w:t>2、估值错误处理原则</w:t>
      </w:r>
    </w:p>
    <w:p>
      <w:pPr>
        <w:pStyle w:val="65"/>
        <w:spacing w:line="360" w:lineRule="auto"/>
        <w:ind w:firstLine="480"/>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pStyle w:val="65"/>
        <w:spacing w:line="360" w:lineRule="auto"/>
        <w:ind w:firstLine="480"/>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pPr>
        <w:pStyle w:val="65"/>
        <w:spacing w:line="360" w:lineRule="auto"/>
        <w:ind w:firstLine="480"/>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ascii="宋体" w:hAnsi="宋体" w:cs="宋体"/>
          <w:kern w:val="0"/>
          <w:sz w:val="24"/>
          <w:szCs w:val="24"/>
        </w:rPr>
        <w:t>（</w:t>
      </w:r>
      <w:r>
        <w:rPr>
          <w:rFonts w:ascii="宋体" w:hAnsi="宋体" w:cs="宋体"/>
          <w:kern w:val="0"/>
          <w:sz w:val="24"/>
          <w:szCs w:val="24"/>
        </w:rPr>
        <w:t>“受损方”</w:t>
      </w:r>
      <w:r>
        <w:rPr>
          <w:rFonts w:hint="eastAsia" w:ascii="宋体" w:hAnsi="宋体" w:cs="宋体"/>
          <w:kern w:val="0"/>
          <w:sz w:val="24"/>
          <w:szCs w:val="24"/>
        </w:rPr>
        <w:t>）</w:t>
      </w:r>
      <w:r>
        <w:rPr>
          <w:rFonts w:ascii="宋体" w:hAnsi="宋体" w:cs="宋体"/>
          <w:kern w:val="0"/>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pStyle w:val="65"/>
        <w:spacing w:line="360" w:lineRule="auto"/>
        <w:ind w:firstLine="480"/>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pPr>
        <w:pStyle w:val="65"/>
        <w:spacing w:line="360" w:lineRule="auto"/>
        <w:ind w:firstLine="480"/>
        <w:rPr>
          <w:rFonts w:eastAsia="Times New Roman"/>
          <w:kern w:val="0"/>
          <w:sz w:val="24"/>
          <w:szCs w:val="24"/>
        </w:rPr>
      </w:pPr>
      <w:r>
        <w:rPr>
          <w:rFonts w:ascii="宋体" w:hAnsi="宋体" w:cs="宋体"/>
          <w:kern w:val="0"/>
          <w:sz w:val="24"/>
          <w:szCs w:val="24"/>
        </w:rPr>
        <w:t>3、估值错误处理程序</w:t>
      </w:r>
    </w:p>
    <w:p>
      <w:pPr>
        <w:pStyle w:val="65"/>
        <w:spacing w:line="360" w:lineRule="auto"/>
        <w:ind w:firstLine="48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pPr>
        <w:pStyle w:val="65"/>
        <w:spacing w:line="360" w:lineRule="auto"/>
        <w:ind w:firstLine="480"/>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pPr>
        <w:pStyle w:val="65"/>
        <w:spacing w:line="360" w:lineRule="auto"/>
        <w:ind w:firstLine="480"/>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pPr>
        <w:pStyle w:val="65"/>
        <w:spacing w:line="360" w:lineRule="auto"/>
        <w:ind w:firstLine="480"/>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pPr>
        <w:pStyle w:val="65"/>
        <w:spacing w:line="360" w:lineRule="auto"/>
        <w:ind w:firstLine="480"/>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pPr>
        <w:pStyle w:val="65"/>
        <w:spacing w:line="360" w:lineRule="auto"/>
        <w:ind w:firstLine="480"/>
        <w:rPr>
          <w:rFonts w:eastAsia="Times New Roman"/>
          <w:kern w:val="0"/>
          <w:sz w:val="24"/>
          <w:szCs w:val="24"/>
        </w:rPr>
      </w:pPr>
      <w:r>
        <w:rPr>
          <w:rFonts w:ascii="宋体" w:hAnsi="宋体" w:cs="宋体"/>
          <w:kern w:val="0"/>
          <w:sz w:val="24"/>
          <w:szCs w:val="24"/>
        </w:rPr>
        <w:t>4、基金份额净值估值错误处理的方法如下：</w:t>
      </w:r>
    </w:p>
    <w:p>
      <w:pPr>
        <w:pStyle w:val="65"/>
        <w:spacing w:line="360" w:lineRule="auto"/>
        <w:ind w:firstLine="480"/>
        <w:rPr>
          <w:rFonts w:eastAsia="Times New Roman"/>
          <w:kern w:val="0"/>
          <w:sz w:val="24"/>
          <w:szCs w:val="24"/>
        </w:rPr>
      </w:pPr>
      <w:r>
        <w:rPr>
          <w:rFonts w:ascii="宋体" w:hAnsi="宋体" w:cs="宋体"/>
          <w:kern w:val="0"/>
          <w:sz w:val="24"/>
          <w:szCs w:val="24"/>
        </w:rPr>
        <w:t>（1）基金份额净值计算出现错误时，基金管理人应当立即予以纠正，通报基金托管人，并采取合理的措施防止损失进一步扩大。</w:t>
      </w:r>
    </w:p>
    <w:p>
      <w:pPr>
        <w:pStyle w:val="65"/>
        <w:spacing w:line="360" w:lineRule="auto"/>
        <w:ind w:firstLine="480"/>
        <w:rPr>
          <w:rFonts w:eastAsia="Times New Roman"/>
          <w:kern w:val="0"/>
          <w:sz w:val="24"/>
          <w:szCs w:val="24"/>
        </w:rPr>
      </w:pPr>
      <w:r>
        <w:rPr>
          <w:rFonts w:ascii="宋体" w:hAnsi="宋体" w:cs="宋体"/>
          <w:kern w:val="0"/>
          <w:sz w:val="24"/>
          <w:szCs w:val="24"/>
        </w:rPr>
        <w:t>（2）错误偏差达到基金份额净值的0.25%时，基金管理人应当通报基金托管人并报中国证监会备案；错误偏差达到基金份额净值的0.5%时，基金管理人应当公告，并报中国证监会备案。</w:t>
      </w:r>
    </w:p>
    <w:p>
      <w:pPr>
        <w:pStyle w:val="65"/>
        <w:spacing w:line="360" w:lineRule="auto"/>
        <w:ind w:firstLine="480"/>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w:t>
      </w:r>
      <w:bookmarkStart w:id="55" w:name="_Hlk191743548"/>
      <w:r>
        <w:rPr>
          <w:rFonts w:ascii="宋体" w:hAnsi="宋体"/>
          <w:sz w:val="24"/>
        </w:rPr>
        <w:t>在不违</w:t>
      </w:r>
      <w:r>
        <w:rPr>
          <w:rFonts w:hint="eastAsia" w:ascii="宋体" w:hAnsi="宋体"/>
          <w:sz w:val="24"/>
        </w:rPr>
        <w:t>反</w:t>
      </w:r>
      <w:r>
        <w:rPr>
          <w:rFonts w:ascii="宋体" w:hAnsi="宋体"/>
          <w:sz w:val="24"/>
        </w:rPr>
        <w:t>法律法规且不损害投资者利益的前提下，</w:t>
      </w:r>
      <w:bookmarkEnd w:id="55"/>
      <w:r>
        <w:rPr>
          <w:rFonts w:ascii="宋体" w:hAnsi="宋体" w:cs="宋体"/>
          <w:kern w:val="0"/>
          <w:sz w:val="24"/>
          <w:szCs w:val="24"/>
        </w:rPr>
        <w:t>基金管理人和基金托管人应本着平等和保护基金份额持有人利益的原则进行协商。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七、</w:t>
      </w:r>
      <w:r>
        <w:rPr>
          <w:rFonts w:ascii="宋体" w:hAnsi="宋体" w:cs="宋体"/>
          <w:kern w:val="0"/>
          <w:sz w:val="24"/>
          <w:szCs w:val="24"/>
        </w:rPr>
        <w:t>暂停估值的情形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1、基金投资所涉及的证券/期货交易市场遇法定节假日或因其他原因暂停营业时；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当前一估值日基金资产净值50%以上的资产出现无可参考的活跃市场价格且采用估值技术仍导致公允价值存在重大不确定性时，经与基金托管人协商确认后，基金管理人应当暂停估值；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法律法规规定、中国证监会和基金合同认定的其它情形。</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八、</w:t>
      </w:r>
      <w:r>
        <w:rPr>
          <w:rFonts w:ascii="宋体" w:hAnsi="宋体" w:cs="宋体"/>
          <w:kern w:val="0"/>
          <w:sz w:val="24"/>
          <w:szCs w:val="24"/>
        </w:rPr>
        <w:t>基金净值的确认</w:t>
      </w:r>
    </w:p>
    <w:p>
      <w:pPr>
        <w:pStyle w:val="65"/>
        <w:spacing w:line="360" w:lineRule="auto"/>
        <w:ind w:firstLine="480"/>
        <w:rPr>
          <w:rFonts w:eastAsia="Times New Roman"/>
          <w:kern w:val="0"/>
          <w:sz w:val="24"/>
          <w:szCs w:val="24"/>
        </w:rPr>
      </w:pPr>
      <w:r>
        <w:rPr>
          <w:rStyle w:val="66"/>
          <w:rFonts w:ascii="宋体" w:hAnsi="宋体" w:cs="宋体"/>
          <w:kern w:val="0"/>
          <w:sz w:val="24"/>
          <w:szCs w:val="24"/>
        </w:rPr>
        <w:t>用于基金信息披露的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信息按约定予以公布。</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九、</w:t>
      </w:r>
      <w:r>
        <w:rPr>
          <w:rFonts w:ascii="宋体" w:hAnsi="宋体" w:cs="宋体"/>
          <w:kern w:val="0"/>
          <w:sz w:val="24"/>
          <w:szCs w:val="24"/>
        </w:rPr>
        <w:t>特殊情形的处理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1、基金管理人、基金托管人按本部分有关估值方法约定的第11项进行估值时，所造成的误差不作为基金资产估值错误处理。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由于证券/期货交易所、指数编制机构及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Style w:val="66"/>
          <w:rFonts w:ascii="宋体" w:hAnsi="宋体" w:cs="宋体"/>
          <w:kern w:val="0"/>
          <w:sz w:val="24"/>
          <w:szCs w:val="24"/>
        </w:rPr>
        <w:br w:type="page"/>
      </w:r>
    </w:p>
    <w:p>
      <w:pPr>
        <w:pStyle w:val="2"/>
        <w:spacing w:before="0" w:after="0"/>
        <w:jc w:val="center"/>
        <w:rPr>
          <w:rFonts w:ascii="Times New Roman"/>
          <w:color w:val="auto"/>
          <w:sz w:val="30"/>
        </w:rPr>
      </w:pPr>
      <w:bookmarkStart w:id="56" w:name="_Toc256000016"/>
      <w:r>
        <w:rPr>
          <w:rFonts w:ascii="Times New Roman"/>
          <w:color w:val="auto"/>
          <w:sz w:val="30"/>
        </w:rPr>
        <w:t>第十七部分  基金费用与税收</w:t>
      </w:r>
      <w:bookmarkEnd w:id="56"/>
    </w:p>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一、基金费用的种类</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基金管理人的管理费；</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2、基金托管人的托管费；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《基金合同》生效后与基金相关的信息披露费用（但法律法规、中国证监会另有规定的除外）；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《基金合同》生效后与基金相关的会计师费、律师费、仲裁费和诉讼费；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基金份额持有人大会费用；</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6、基金的证券/期货</w:t>
      </w:r>
      <w:r>
        <w:rPr>
          <w:rStyle w:val="66"/>
          <w:rFonts w:hint="eastAsia" w:ascii="宋体" w:hAnsi="宋体" w:cs="宋体"/>
          <w:kern w:val="0"/>
          <w:sz w:val="24"/>
          <w:szCs w:val="24"/>
        </w:rPr>
        <w:t>/</w:t>
      </w:r>
      <w:r>
        <w:rPr>
          <w:rFonts w:hint="eastAsia" w:ascii="宋体" w:hAnsi="宋体" w:cs="宋体"/>
          <w:color w:val="000000"/>
          <w:kern w:val="0"/>
          <w:sz w:val="24"/>
          <w:szCs w:val="24"/>
        </w:rPr>
        <w:t>期权</w:t>
      </w:r>
      <w:r>
        <w:rPr>
          <w:rStyle w:val="66"/>
          <w:rFonts w:ascii="宋体" w:hAnsi="宋体" w:cs="宋体"/>
          <w:kern w:val="0"/>
          <w:sz w:val="24"/>
          <w:szCs w:val="24"/>
        </w:rPr>
        <w:t>等交易费用；</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7、基金的银行汇划费用；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8、</w:t>
      </w:r>
      <w:r>
        <w:rPr>
          <w:rFonts w:ascii="宋体" w:hAnsi="宋体" w:cs="宋体"/>
          <w:kern w:val="0"/>
          <w:sz w:val="24"/>
          <w:szCs w:val="24"/>
        </w:rPr>
        <w:t>基金的账户开户费用、账户维护费用；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9、</w:t>
      </w:r>
      <w:r>
        <w:rPr>
          <w:rFonts w:ascii="宋体" w:hAnsi="宋体" w:cs="宋体"/>
          <w:kern w:val="0"/>
          <w:sz w:val="24"/>
          <w:szCs w:val="24"/>
        </w:rPr>
        <w:t>基金的上市费；</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10、</w:t>
      </w:r>
      <w:r>
        <w:rPr>
          <w:rFonts w:ascii="宋体" w:hAnsi="宋体" w:cs="宋体"/>
          <w:kern w:val="0"/>
          <w:sz w:val="24"/>
          <w:szCs w:val="24"/>
        </w:rPr>
        <w:t>收益分配中发生的费用、登记结算费用、IOPV计算与发布费用；</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二、基金费用计提方法、计提标准和支付方式</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本基金的管理费按前一日基金资产净值的</w:t>
      </w:r>
      <w:r>
        <w:rPr>
          <w:rStyle w:val="67"/>
          <w:rFonts w:ascii="宋体" w:hAnsi="宋体" w:cs="宋体"/>
          <w:kern w:val="0"/>
          <w:sz w:val="24"/>
          <w:szCs w:val="24"/>
        </w:rPr>
        <w:t>0.50</w:t>
      </w:r>
      <w:r>
        <w:rPr>
          <w:rStyle w:val="66"/>
          <w:rFonts w:ascii="宋体" w:hAnsi="宋体" w:cs="宋体"/>
          <w:kern w:val="0"/>
          <w:sz w:val="24"/>
          <w:szCs w:val="24"/>
        </w:rPr>
        <w:t>%年费率计提。管理费的计算方法如下：</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H＝E×0.50%÷当年天数</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H为每日应计提的基金管理费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E为前一日的基金资产净值</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基金管理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pPr>
        <w:pStyle w:val="65"/>
        <w:spacing w:line="360" w:lineRule="auto"/>
        <w:ind w:firstLine="480"/>
        <w:rPr>
          <w:rFonts w:ascii="宋体" w:hAnsi="宋体" w:cs="宋体"/>
          <w:kern w:val="0"/>
          <w:sz w:val="24"/>
          <w:szCs w:val="24"/>
        </w:rPr>
      </w:pPr>
      <w:r>
        <w:rPr>
          <w:rFonts w:ascii="宋体" w:hAnsi="宋体" w:cs="宋体"/>
          <w:kern w:val="0"/>
          <w:sz w:val="24"/>
          <w:szCs w:val="24"/>
        </w:rPr>
        <w:t>2、基金托管人的托管费</w:t>
      </w:r>
    </w:p>
    <w:p>
      <w:pPr>
        <w:pStyle w:val="65"/>
        <w:spacing w:line="360" w:lineRule="auto"/>
        <w:ind w:firstLine="480"/>
        <w:rPr>
          <w:rFonts w:ascii="宋体" w:hAnsi="宋体" w:cs="宋体"/>
          <w:kern w:val="0"/>
          <w:sz w:val="24"/>
          <w:szCs w:val="24"/>
        </w:rPr>
      </w:pPr>
      <w:r>
        <w:rPr>
          <w:rFonts w:ascii="宋体" w:hAnsi="宋体" w:cs="宋体"/>
          <w:kern w:val="0"/>
          <w:sz w:val="24"/>
          <w:szCs w:val="24"/>
        </w:rPr>
        <w:t>本基金的托管费按前一日基金资产净值的</w:t>
      </w:r>
      <w:r>
        <w:rPr>
          <w:rStyle w:val="66"/>
          <w:rFonts w:ascii="宋体" w:hAnsi="宋体" w:cs="宋体"/>
          <w:kern w:val="0"/>
          <w:sz w:val="24"/>
          <w:szCs w:val="24"/>
        </w:rPr>
        <w:t>0.10</w:t>
      </w:r>
      <w:r>
        <w:rPr>
          <w:rFonts w:ascii="宋体" w:hAnsi="宋体" w:cs="宋体"/>
          <w:kern w:val="0"/>
          <w:sz w:val="24"/>
          <w:szCs w:val="24"/>
        </w:rPr>
        <w:t>%的年费率计提。托管费的计算方法如下：</w:t>
      </w:r>
    </w:p>
    <w:p>
      <w:pPr>
        <w:pStyle w:val="65"/>
        <w:spacing w:line="360" w:lineRule="auto"/>
        <w:ind w:firstLine="480"/>
        <w:rPr>
          <w:rFonts w:ascii="宋体" w:hAnsi="宋体" w:cs="宋体"/>
          <w:kern w:val="0"/>
          <w:sz w:val="24"/>
          <w:szCs w:val="24"/>
        </w:rPr>
      </w:pPr>
      <w:r>
        <w:rPr>
          <w:rFonts w:ascii="宋体" w:hAnsi="宋体" w:cs="宋体"/>
          <w:kern w:val="0"/>
          <w:sz w:val="24"/>
          <w:szCs w:val="24"/>
        </w:rPr>
        <w:t>H＝E×</w:t>
      </w:r>
      <w:r>
        <w:rPr>
          <w:rStyle w:val="67"/>
          <w:rFonts w:ascii="宋体" w:hAnsi="宋体" w:cs="宋体"/>
          <w:kern w:val="0"/>
          <w:sz w:val="24"/>
          <w:szCs w:val="24"/>
        </w:rPr>
        <w:t>0.10</w:t>
      </w:r>
      <w:r>
        <w:rPr>
          <w:rFonts w:ascii="宋体" w:hAnsi="宋体" w:cs="宋体"/>
          <w:kern w:val="0"/>
          <w:sz w:val="24"/>
          <w:szCs w:val="24"/>
        </w:rPr>
        <w:t>%÷当年天数</w:t>
      </w:r>
    </w:p>
    <w:p>
      <w:pPr>
        <w:pStyle w:val="65"/>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pPr>
        <w:pStyle w:val="65"/>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pPr>
        <w:pStyle w:val="65"/>
        <w:spacing w:line="360" w:lineRule="auto"/>
        <w:ind w:firstLine="480"/>
        <w:rPr>
          <w:rFonts w:ascii="宋体" w:hAnsi="宋体" w:cs="宋体"/>
          <w:kern w:val="0"/>
          <w:sz w:val="24"/>
          <w:szCs w:val="24"/>
        </w:rPr>
      </w:pPr>
      <w:r>
        <w:rPr>
          <w:rFonts w:hint="eastAsia" w:ascii="宋体" w:hAnsi="宋体" w:cs="宋体"/>
          <w:kern w:val="0"/>
          <w:sz w:val="24"/>
          <w:szCs w:val="24"/>
        </w:rPr>
        <w:t>基金托管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上述“一、基金费用的种类”中第</w:t>
      </w:r>
      <w:r>
        <w:rPr>
          <w:rStyle w:val="66"/>
          <w:rFonts w:ascii="宋体" w:hAnsi="宋体" w:cs="宋体"/>
          <w:kern w:val="0"/>
          <w:sz w:val="24"/>
          <w:szCs w:val="24"/>
        </w:rPr>
        <w:t>3</w:t>
      </w:r>
      <w:r>
        <w:rPr>
          <w:rFonts w:ascii="宋体" w:hAnsi="宋体" w:cs="宋体"/>
          <w:kern w:val="0"/>
          <w:sz w:val="24"/>
          <w:szCs w:val="24"/>
        </w:rPr>
        <w:t>－</w:t>
      </w:r>
      <w:r>
        <w:rPr>
          <w:rStyle w:val="67"/>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三、不列入基金费用的项目</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下列费用不列入基金费用：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3、《基金合同》生效前的相关费用；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4、基金的指数许可使用费（该费用由基金管理人承担）；</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四、基金税收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pPr>
        <w:pStyle w:val="2"/>
        <w:spacing w:before="0" w:after="0"/>
        <w:jc w:val="center"/>
        <w:rPr>
          <w:rFonts w:ascii="Times New Roman"/>
          <w:color w:val="auto"/>
          <w:sz w:val="30"/>
        </w:rPr>
      </w:pPr>
      <w:bookmarkStart w:id="57" w:name="_Toc256000017"/>
      <w:r>
        <w:rPr>
          <w:rFonts w:ascii="Times New Roman"/>
          <w:color w:val="auto"/>
          <w:sz w:val="30"/>
        </w:rPr>
        <w:t>第十八部分  基金的收益与分配</w:t>
      </w:r>
      <w:bookmarkEnd w:id="57"/>
    </w:p>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1、《基金合同》生效不满3个月可不进行收益分配；</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2、本基金收益分配采用现金分红；</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3、每一基金份额享有同等分配权；</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4、基金管理人可对基金相对标的指数的超额收益率和/或基金的可供分配利润进行评价，当收益评价日核定的超额收益率或者基金可供分配利润金额大于零时，基金管理人可进行收益分配；</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6、法律法规或监管机构另有规定的，从其规定。</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四、收益分配方案</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w:t>
      </w:r>
      <w:r>
        <w:rPr>
          <w:rFonts w:hint="eastAsia" w:ascii="宋体" w:hAnsi="宋体" w:cs="宋体"/>
          <w:kern w:val="0"/>
          <w:sz w:val="24"/>
          <w:szCs w:val="24"/>
        </w:rPr>
        <w:t>可供分配利润（如需）、</w:t>
      </w:r>
      <w:r>
        <w:rPr>
          <w:rFonts w:ascii="宋体" w:hAnsi="宋体" w:cs="宋体"/>
          <w:kern w:val="0"/>
          <w:sz w:val="24"/>
          <w:szCs w:val="24"/>
        </w:rPr>
        <w:t>基金收益分配对象、分配时间、分配数额及比例、分配方式等内容。</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基金收益分配时所发生的银行转账或其他手续费用由投资者自行承担。</w:t>
      </w:r>
      <w:r>
        <w:rPr>
          <w:rFonts w:ascii="宋体" w:hAnsi="宋体" w:cs="宋体"/>
          <w:kern w:val="0"/>
          <w:sz w:val="24"/>
          <w:szCs w:val="24"/>
        </w:rPr>
        <w:br w:type="page"/>
      </w:r>
    </w:p>
    <w:p>
      <w:pPr>
        <w:pStyle w:val="2"/>
        <w:spacing w:before="0" w:after="0"/>
        <w:jc w:val="center"/>
        <w:rPr>
          <w:rFonts w:ascii="Times New Roman"/>
          <w:color w:val="auto"/>
          <w:sz w:val="30"/>
        </w:rPr>
      </w:pPr>
      <w:bookmarkStart w:id="58" w:name="_Toc256000018"/>
      <w:r>
        <w:rPr>
          <w:rFonts w:ascii="Times New Roman"/>
          <w:color w:val="auto"/>
          <w:sz w:val="30"/>
        </w:rPr>
        <w:t>第十九部分  基金的会计与审计</w:t>
      </w:r>
      <w:bookmarkEnd w:id="58"/>
    </w:p>
    <w:p/>
    <w:p>
      <w:pPr>
        <w:pStyle w:val="65"/>
        <w:spacing w:line="360" w:lineRule="auto"/>
        <w:ind w:firstLine="480"/>
        <w:rPr>
          <w:rFonts w:eastAsia="Times New Roman"/>
          <w:kern w:val="0"/>
          <w:sz w:val="24"/>
          <w:szCs w:val="24"/>
        </w:rPr>
      </w:pPr>
      <w:r>
        <w:rPr>
          <w:rFonts w:ascii="宋体" w:hAnsi="宋体" w:cs="宋体"/>
          <w:kern w:val="0"/>
          <w:sz w:val="24"/>
          <w:szCs w:val="24"/>
        </w:rPr>
        <w:t>一、基金会计政策</w:t>
      </w:r>
    </w:p>
    <w:p>
      <w:pPr>
        <w:pStyle w:val="65"/>
        <w:spacing w:line="360" w:lineRule="auto"/>
        <w:ind w:firstLine="480"/>
        <w:rPr>
          <w:rFonts w:eastAsia="Times New Roman"/>
          <w:kern w:val="0"/>
          <w:sz w:val="24"/>
          <w:szCs w:val="24"/>
        </w:rPr>
      </w:pPr>
      <w:r>
        <w:rPr>
          <w:rFonts w:ascii="宋体" w:hAnsi="宋体" w:cs="宋体"/>
          <w:kern w:val="0"/>
          <w:sz w:val="24"/>
          <w:szCs w:val="24"/>
        </w:rPr>
        <w:t>1、基金管理人为本基金的基金会计责任方；</w:t>
      </w:r>
    </w:p>
    <w:p>
      <w:pPr>
        <w:pStyle w:val="65"/>
        <w:spacing w:line="360" w:lineRule="auto"/>
        <w:ind w:firstLine="480"/>
        <w:rPr>
          <w:rFonts w:eastAsia="Times New Roman"/>
          <w:kern w:val="0"/>
          <w:sz w:val="24"/>
          <w:szCs w:val="24"/>
        </w:rPr>
      </w:pPr>
      <w:r>
        <w:rPr>
          <w:rFonts w:ascii="宋体" w:hAnsi="宋体" w:cs="宋体"/>
          <w:kern w:val="0"/>
          <w:sz w:val="24"/>
          <w:szCs w:val="24"/>
        </w:rPr>
        <w:t>2、基金的会计年度为公历年度的1月1日至12月31日；基金首次募集的会计年度按如下原则：如果《基金合同》生效少于2个月，可以并入下一个会计年度披露；</w:t>
      </w:r>
    </w:p>
    <w:p>
      <w:pPr>
        <w:pStyle w:val="65"/>
        <w:spacing w:line="360" w:lineRule="auto"/>
        <w:ind w:firstLine="480"/>
        <w:rPr>
          <w:rFonts w:eastAsia="Times New Roman"/>
          <w:kern w:val="0"/>
          <w:sz w:val="24"/>
          <w:szCs w:val="24"/>
        </w:rPr>
      </w:pPr>
      <w:r>
        <w:rPr>
          <w:rFonts w:ascii="宋体" w:hAnsi="宋体" w:cs="宋体"/>
          <w:kern w:val="0"/>
          <w:sz w:val="24"/>
          <w:szCs w:val="24"/>
        </w:rPr>
        <w:t>3、基金核算以人民币为记账本位币，以人民币元为记账单位；</w:t>
      </w:r>
    </w:p>
    <w:p>
      <w:pPr>
        <w:pStyle w:val="65"/>
        <w:spacing w:line="360" w:lineRule="auto"/>
        <w:ind w:firstLine="480"/>
        <w:rPr>
          <w:rFonts w:eastAsia="Times New Roman"/>
          <w:kern w:val="0"/>
          <w:sz w:val="24"/>
          <w:szCs w:val="24"/>
        </w:rPr>
      </w:pPr>
      <w:r>
        <w:rPr>
          <w:rFonts w:ascii="宋体" w:hAnsi="宋体" w:cs="宋体"/>
          <w:kern w:val="0"/>
          <w:sz w:val="24"/>
          <w:szCs w:val="24"/>
        </w:rPr>
        <w:t>4、会计制度执行国家有关会计制度；</w:t>
      </w:r>
    </w:p>
    <w:p>
      <w:pPr>
        <w:pStyle w:val="65"/>
        <w:spacing w:line="360" w:lineRule="auto"/>
        <w:ind w:firstLine="480"/>
        <w:rPr>
          <w:rFonts w:eastAsia="Times New Roman"/>
          <w:kern w:val="0"/>
          <w:sz w:val="24"/>
          <w:szCs w:val="24"/>
        </w:rPr>
      </w:pPr>
      <w:r>
        <w:rPr>
          <w:rFonts w:ascii="宋体" w:hAnsi="宋体" w:cs="宋体"/>
          <w:kern w:val="0"/>
          <w:sz w:val="24"/>
          <w:szCs w:val="24"/>
        </w:rPr>
        <w:t>5、本基金独立建账、独立核算；</w:t>
      </w:r>
    </w:p>
    <w:p>
      <w:pPr>
        <w:pStyle w:val="65"/>
        <w:spacing w:line="360" w:lineRule="auto"/>
        <w:ind w:firstLine="48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pPr>
        <w:pStyle w:val="65"/>
        <w:spacing w:line="360" w:lineRule="auto"/>
        <w:ind w:firstLine="48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pPr>
        <w:pStyle w:val="65"/>
        <w:spacing w:line="360" w:lineRule="auto"/>
        <w:ind w:firstLine="480"/>
        <w:rPr>
          <w:rFonts w:eastAsia="Times New Roman"/>
          <w:kern w:val="0"/>
          <w:sz w:val="24"/>
          <w:szCs w:val="24"/>
        </w:rPr>
      </w:pPr>
      <w:r>
        <w:rPr>
          <w:rFonts w:ascii="宋体" w:hAnsi="宋体" w:cs="宋体"/>
          <w:kern w:val="0"/>
          <w:sz w:val="24"/>
          <w:szCs w:val="24"/>
        </w:rPr>
        <w:t>二、基金的年度审计</w:t>
      </w:r>
    </w:p>
    <w:p>
      <w:pPr>
        <w:pStyle w:val="65"/>
        <w:spacing w:line="360" w:lineRule="auto"/>
        <w:ind w:firstLine="48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pPr>
        <w:pStyle w:val="65"/>
        <w:spacing w:line="360" w:lineRule="auto"/>
        <w:ind w:firstLine="480"/>
        <w:rPr>
          <w:rFonts w:eastAsia="Times New Roman"/>
          <w:kern w:val="0"/>
          <w:sz w:val="24"/>
          <w:szCs w:val="24"/>
        </w:rPr>
      </w:pPr>
      <w:r>
        <w:rPr>
          <w:rFonts w:ascii="宋体" w:hAnsi="宋体" w:cs="宋体"/>
          <w:kern w:val="0"/>
          <w:sz w:val="24"/>
          <w:szCs w:val="24"/>
        </w:rPr>
        <w:t>2、会计师事务所更换经办注册会计师，应事先征得基金管理人同意。</w:t>
      </w:r>
    </w:p>
    <w:p>
      <w:pPr>
        <w:pStyle w:val="65"/>
        <w:spacing w:line="360" w:lineRule="auto"/>
        <w:ind w:firstLine="48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pPr>
        <w:pStyle w:val="2"/>
        <w:spacing w:before="0" w:after="0"/>
        <w:jc w:val="center"/>
        <w:rPr>
          <w:rFonts w:ascii="Times New Roman"/>
          <w:color w:val="auto"/>
          <w:sz w:val="30"/>
        </w:rPr>
      </w:pPr>
      <w:bookmarkStart w:id="59" w:name="_Toc256000019"/>
      <w:r>
        <w:rPr>
          <w:rFonts w:ascii="Times New Roman"/>
          <w:color w:val="auto"/>
          <w:sz w:val="30"/>
        </w:rPr>
        <w:t>第二十部分  基金的信息披露</w:t>
      </w:r>
      <w:bookmarkEnd w:id="59"/>
    </w:p>
    <w:p/>
    <w:p>
      <w:pPr>
        <w:pStyle w:val="65"/>
        <w:spacing w:line="360" w:lineRule="auto"/>
        <w:ind w:firstLine="480"/>
        <w:rPr>
          <w:rFonts w:eastAsia="Times New Roman"/>
          <w:kern w:val="0"/>
          <w:sz w:val="24"/>
          <w:szCs w:val="24"/>
        </w:rPr>
      </w:pPr>
      <w:r>
        <w:rPr>
          <w:rFonts w:ascii="宋体" w:hAnsi="宋体" w:cs="宋体"/>
          <w:kern w:val="0"/>
          <w:sz w:val="24"/>
          <w:szCs w:val="24"/>
        </w:rPr>
        <w:t>一、本基金的信息披露应符合《基金法》、《运作办法》、《信息披露办法》、《流动性风险管理规定》、《基金合同》及其他有关规定。相关法律法规关于信息披露的规定发生变化时，本基金从其最新规定。</w:t>
      </w:r>
    </w:p>
    <w:p>
      <w:pPr>
        <w:pStyle w:val="65"/>
        <w:spacing w:line="360" w:lineRule="auto"/>
        <w:ind w:firstLine="480"/>
        <w:rPr>
          <w:rFonts w:eastAsia="Times New Roman"/>
          <w:kern w:val="0"/>
          <w:sz w:val="24"/>
          <w:szCs w:val="24"/>
        </w:rPr>
      </w:pPr>
      <w:r>
        <w:rPr>
          <w:rFonts w:ascii="宋体" w:hAnsi="宋体" w:cs="宋体"/>
          <w:kern w:val="0"/>
          <w:sz w:val="24"/>
          <w:szCs w:val="24"/>
        </w:rPr>
        <w:t>二、信息披露义务人</w:t>
      </w:r>
    </w:p>
    <w:p>
      <w:pPr>
        <w:pStyle w:val="65"/>
        <w:spacing w:line="360" w:lineRule="auto"/>
        <w:ind w:firstLine="48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pPr>
        <w:pStyle w:val="65"/>
        <w:spacing w:line="360" w:lineRule="auto"/>
        <w:ind w:firstLine="48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pPr>
        <w:pStyle w:val="65"/>
        <w:spacing w:line="360" w:lineRule="auto"/>
        <w:ind w:firstLine="48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pPr>
        <w:pStyle w:val="65"/>
        <w:spacing w:line="360" w:lineRule="auto"/>
        <w:ind w:firstLine="480"/>
        <w:rPr>
          <w:rFonts w:eastAsia="Times New Roman"/>
          <w:kern w:val="0"/>
          <w:sz w:val="24"/>
          <w:szCs w:val="24"/>
        </w:rPr>
      </w:pPr>
      <w:r>
        <w:rPr>
          <w:rFonts w:ascii="宋体" w:hAnsi="宋体" w:cs="宋体"/>
          <w:kern w:val="0"/>
          <w:sz w:val="24"/>
          <w:szCs w:val="24"/>
        </w:rPr>
        <w:t>三、本基金信息披露义务人承诺公开披露的基金信息，不得有下列行为：</w:t>
      </w:r>
    </w:p>
    <w:p>
      <w:pPr>
        <w:pStyle w:val="65"/>
        <w:spacing w:line="360" w:lineRule="auto"/>
        <w:ind w:firstLine="480"/>
        <w:rPr>
          <w:rFonts w:eastAsia="Times New Roman"/>
          <w:kern w:val="0"/>
          <w:sz w:val="24"/>
          <w:szCs w:val="24"/>
        </w:rPr>
      </w:pPr>
      <w:r>
        <w:rPr>
          <w:rFonts w:ascii="宋体" w:hAnsi="宋体" w:cs="宋体"/>
          <w:kern w:val="0"/>
          <w:sz w:val="24"/>
          <w:szCs w:val="24"/>
        </w:rPr>
        <w:t>1、虚假记载、误导性陈述或者重大遗漏；</w:t>
      </w:r>
    </w:p>
    <w:p>
      <w:pPr>
        <w:pStyle w:val="65"/>
        <w:spacing w:line="360" w:lineRule="auto"/>
        <w:ind w:firstLine="480"/>
        <w:rPr>
          <w:rFonts w:eastAsia="Times New Roman"/>
          <w:kern w:val="0"/>
          <w:sz w:val="24"/>
          <w:szCs w:val="24"/>
        </w:rPr>
      </w:pPr>
      <w:r>
        <w:rPr>
          <w:rFonts w:ascii="宋体" w:hAnsi="宋体" w:cs="宋体"/>
          <w:kern w:val="0"/>
          <w:sz w:val="24"/>
          <w:szCs w:val="24"/>
        </w:rPr>
        <w:t>2、对证券投资业绩进行预测；</w:t>
      </w:r>
    </w:p>
    <w:p>
      <w:pPr>
        <w:pStyle w:val="65"/>
        <w:spacing w:line="360" w:lineRule="auto"/>
        <w:ind w:firstLine="480"/>
        <w:rPr>
          <w:rFonts w:eastAsia="Times New Roman"/>
          <w:kern w:val="0"/>
          <w:sz w:val="24"/>
          <w:szCs w:val="24"/>
        </w:rPr>
      </w:pPr>
      <w:r>
        <w:rPr>
          <w:rFonts w:ascii="宋体" w:hAnsi="宋体" w:cs="宋体"/>
          <w:kern w:val="0"/>
          <w:sz w:val="24"/>
          <w:szCs w:val="24"/>
        </w:rPr>
        <w:t>3、违规承诺收益或者承担损失；</w:t>
      </w:r>
    </w:p>
    <w:p>
      <w:pPr>
        <w:pStyle w:val="65"/>
        <w:spacing w:line="360" w:lineRule="auto"/>
        <w:ind w:firstLine="480"/>
        <w:rPr>
          <w:rFonts w:eastAsia="Times New Roman"/>
          <w:kern w:val="0"/>
          <w:sz w:val="24"/>
          <w:szCs w:val="24"/>
        </w:rPr>
      </w:pPr>
      <w:r>
        <w:rPr>
          <w:rFonts w:ascii="宋体" w:hAnsi="宋体" w:cs="宋体"/>
          <w:kern w:val="0"/>
          <w:sz w:val="24"/>
          <w:szCs w:val="24"/>
        </w:rPr>
        <w:t>4、诋毁其他基金管理人、基金托管人或者基金销售机构；</w:t>
      </w:r>
    </w:p>
    <w:p>
      <w:pPr>
        <w:pStyle w:val="65"/>
        <w:spacing w:line="360" w:lineRule="auto"/>
        <w:ind w:firstLine="480"/>
        <w:rPr>
          <w:rFonts w:eastAsia="Times New Roman"/>
          <w:kern w:val="0"/>
          <w:sz w:val="24"/>
          <w:szCs w:val="24"/>
        </w:rPr>
      </w:pPr>
      <w:r>
        <w:rPr>
          <w:rFonts w:ascii="宋体" w:hAnsi="宋体" w:cs="宋体"/>
          <w:kern w:val="0"/>
          <w:sz w:val="24"/>
          <w:szCs w:val="24"/>
        </w:rPr>
        <w:t>5、登载任何自然人、法人和非法人组织的祝贺性、恭维性或推荐性的文字；</w:t>
      </w:r>
    </w:p>
    <w:p>
      <w:pPr>
        <w:pStyle w:val="65"/>
        <w:spacing w:line="360" w:lineRule="auto"/>
        <w:ind w:firstLine="480"/>
        <w:rPr>
          <w:rFonts w:eastAsia="Times New Roman"/>
          <w:kern w:val="0"/>
          <w:sz w:val="24"/>
          <w:szCs w:val="24"/>
        </w:rPr>
      </w:pPr>
      <w:r>
        <w:rPr>
          <w:rFonts w:ascii="宋体" w:hAnsi="宋体" w:cs="宋体"/>
          <w:kern w:val="0"/>
          <w:sz w:val="24"/>
          <w:szCs w:val="24"/>
        </w:rPr>
        <w:t>6、中国证监会禁止的其他行为。</w:t>
      </w:r>
    </w:p>
    <w:p>
      <w:pPr>
        <w:pStyle w:val="65"/>
        <w:spacing w:line="360" w:lineRule="auto"/>
        <w:ind w:firstLine="480"/>
        <w:rPr>
          <w:rFonts w:eastAsia="Times New Roman"/>
          <w:kern w:val="0"/>
          <w:sz w:val="24"/>
          <w:szCs w:val="24"/>
        </w:rPr>
      </w:pPr>
      <w:r>
        <w:rPr>
          <w:rFonts w:ascii="宋体" w:hAnsi="宋体" w:cs="宋体"/>
          <w:kern w:val="0"/>
          <w:sz w:val="24"/>
          <w:szCs w:val="24"/>
        </w:rPr>
        <w:t>四、本基金公开披露的信息应采用中文文本。如同时采用外文文本的，基金信息披露义务人应保证不同文本的内容一致。不同文本之间发生歧义的，以中文文本为准。</w:t>
      </w:r>
    </w:p>
    <w:p>
      <w:pPr>
        <w:pStyle w:val="65"/>
        <w:spacing w:line="360" w:lineRule="auto"/>
        <w:ind w:firstLine="480"/>
        <w:rPr>
          <w:rFonts w:eastAsia="Times New Roman"/>
          <w:kern w:val="0"/>
          <w:sz w:val="24"/>
          <w:szCs w:val="24"/>
        </w:rPr>
      </w:pPr>
      <w:r>
        <w:rPr>
          <w:rFonts w:ascii="宋体" w:hAnsi="宋体" w:cs="宋体"/>
          <w:kern w:val="0"/>
          <w:sz w:val="24"/>
          <w:szCs w:val="24"/>
        </w:rPr>
        <w:t>本基金公开披露的信息采用阿拉伯数字；除特别说明外，货币单位为人民币元。</w:t>
      </w:r>
    </w:p>
    <w:p>
      <w:pPr>
        <w:pStyle w:val="65"/>
        <w:spacing w:line="360" w:lineRule="auto"/>
        <w:ind w:firstLine="480"/>
        <w:rPr>
          <w:rFonts w:eastAsia="Times New Roman"/>
          <w:kern w:val="0"/>
          <w:sz w:val="24"/>
          <w:szCs w:val="24"/>
        </w:rPr>
      </w:pPr>
      <w:r>
        <w:rPr>
          <w:rFonts w:ascii="宋体" w:hAnsi="宋体" w:cs="宋体"/>
          <w:kern w:val="0"/>
          <w:sz w:val="24"/>
          <w:szCs w:val="24"/>
        </w:rPr>
        <w:t>五、公开披露的基金信息</w:t>
      </w:r>
    </w:p>
    <w:p>
      <w:pPr>
        <w:pStyle w:val="65"/>
        <w:spacing w:line="360" w:lineRule="auto"/>
        <w:ind w:firstLine="480"/>
        <w:rPr>
          <w:rFonts w:eastAsia="Times New Roman"/>
          <w:kern w:val="0"/>
          <w:sz w:val="24"/>
          <w:szCs w:val="24"/>
        </w:rPr>
      </w:pPr>
      <w:r>
        <w:rPr>
          <w:rFonts w:ascii="宋体" w:hAnsi="宋体" w:cs="宋体"/>
          <w:kern w:val="0"/>
          <w:sz w:val="24"/>
          <w:szCs w:val="24"/>
        </w:rPr>
        <w:t>公开披露的基金信息包括：</w:t>
      </w:r>
    </w:p>
    <w:p>
      <w:pPr>
        <w:pStyle w:val="65"/>
        <w:spacing w:line="360" w:lineRule="auto"/>
        <w:ind w:firstLine="480"/>
        <w:rPr>
          <w:rFonts w:eastAsia="Times New Roman"/>
          <w:kern w:val="0"/>
          <w:sz w:val="24"/>
          <w:szCs w:val="24"/>
        </w:rPr>
      </w:pPr>
      <w:r>
        <w:rPr>
          <w:rFonts w:ascii="宋体" w:hAnsi="宋体" w:cs="宋体"/>
          <w:kern w:val="0"/>
          <w:sz w:val="24"/>
          <w:szCs w:val="24"/>
        </w:rPr>
        <w:t>（一）基金招募说明书、《基金合同》、基金托管协议、基金产品资料概要</w:t>
      </w:r>
    </w:p>
    <w:p>
      <w:pPr>
        <w:pStyle w:val="65"/>
        <w:spacing w:line="360" w:lineRule="auto"/>
        <w:ind w:firstLine="480"/>
        <w:rPr>
          <w:rFonts w:eastAsia="Times New Roman"/>
          <w:kern w:val="0"/>
          <w:sz w:val="24"/>
          <w:szCs w:val="24"/>
        </w:rPr>
      </w:pPr>
      <w:r>
        <w:rPr>
          <w:rFonts w:ascii="宋体" w:hAnsi="宋体" w:cs="宋体"/>
          <w:kern w:val="0"/>
          <w:sz w:val="24"/>
          <w:szCs w:val="24"/>
        </w:rPr>
        <w:t>1、《基金合同》是界定《基金合同》当事人的各项权利、义务关系，明确基金份额持有人大会召开的规则及具体程序，说明基金产品的特性等涉及基金投资者重大利益的事项的法律文件。</w:t>
      </w:r>
    </w:p>
    <w:p>
      <w:pPr>
        <w:pStyle w:val="65"/>
        <w:spacing w:line="360" w:lineRule="auto"/>
        <w:ind w:firstLine="480"/>
        <w:rPr>
          <w:rFonts w:eastAsia="Times New Roman"/>
          <w:kern w:val="0"/>
          <w:sz w:val="24"/>
          <w:szCs w:val="24"/>
        </w:rPr>
      </w:pPr>
      <w:r>
        <w:rPr>
          <w:rFonts w:ascii="宋体" w:hAnsi="宋体" w:cs="宋体"/>
          <w:kern w:val="0"/>
          <w:sz w:val="24"/>
          <w:szCs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pStyle w:val="65"/>
        <w:spacing w:line="360" w:lineRule="auto"/>
        <w:ind w:firstLine="480"/>
        <w:rPr>
          <w:rFonts w:eastAsia="Times New Roman"/>
          <w:kern w:val="0"/>
          <w:sz w:val="24"/>
          <w:szCs w:val="24"/>
        </w:rPr>
      </w:pPr>
      <w:r>
        <w:rPr>
          <w:rFonts w:ascii="宋体" w:hAnsi="宋体" w:cs="宋体"/>
          <w:kern w:val="0"/>
          <w:sz w:val="24"/>
          <w:szCs w:val="24"/>
        </w:rPr>
        <w:t>3、基金托管协议是界定基金托管人和基金管理人在基金财产保管及基金运作监督等活动中的权利、义务关系的法律文件。</w:t>
      </w:r>
    </w:p>
    <w:p>
      <w:pPr>
        <w:pStyle w:val="65"/>
        <w:spacing w:line="360" w:lineRule="auto"/>
        <w:ind w:firstLine="480"/>
        <w:rPr>
          <w:rFonts w:eastAsia="Times New Roman"/>
          <w:kern w:val="0"/>
          <w:sz w:val="24"/>
          <w:szCs w:val="24"/>
        </w:rPr>
      </w:pPr>
      <w:r>
        <w:rPr>
          <w:rFonts w:ascii="宋体" w:hAnsi="宋体" w:cs="宋体"/>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pStyle w:val="65"/>
        <w:spacing w:line="360" w:lineRule="auto"/>
        <w:ind w:firstLine="480"/>
        <w:rPr>
          <w:rFonts w:eastAsia="Times New Roman"/>
          <w:kern w:val="0"/>
          <w:sz w:val="24"/>
          <w:szCs w:val="24"/>
        </w:rPr>
      </w:pPr>
      <w:r>
        <w:rPr>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pStyle w:val="65"/>
        <w:spacing w:line="360" w:lineRule="auto"/>
        <w:ind w:firstLine="480"/>
        <w:rPr>
          <w:rFonts w:eastAsia="Times New Roman"/>
          <w:kern w:val="0"/>
          <w:sz w:val="24"/>
          <w:szCs w:val="24"/>
        </w:rPr>
      </w:pPr>
      <w:r>
        <w:rPr>
          <w:rFonts w:ascii="宋体" w:hAnsi="宋体" w:cs="宋体"/>
          <w:kern w:val="0"/>
          <w:sz w:val="24"/>
          <w:szCs w:val="24"/>
        </w:rPr>
        <w:t>（二）基金份额发售公告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基金管理人应当就基金份额发售的具体事宜编制基金份额发售公告，并在披露招募说明书的当日登载于规定媒介上。</w:t>
      </w:r>
    </w:p>
    <w:p>
      <w:pPr>
        <w:pStyle w:val="65"/>
        <w:spacing w:line="360" w:lineRule="auto"/>
        <w:ind w:firstLine="480"/>
        <w:rPr>
          <w:rFonts w:eastAsia="Times New Roman"/>
          <w:kern w:val="0"/>
          <w:sz w:val="24"/>
          <w:szCs w:val="24"/>
        </w:rPr>
      </w:pPr>
      <w:r>
        <w:rPr>
          <w:rFonts w:ascii="宋体" w:hAnsi="宋体" w:cs="宋体"/>
          <w:kern w:val="0"/>
          <w:sz w:val="24"/>
          <w:szCs w:val="24"/>
        </w:rPr>
        <w:t>（三）《基金合同》生效公告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基金管理人应当在收到中国证监会确认文件的次日在规定媒介上登载《基金合同》生效公告。</w:t>
      </w:r>
    </w:p>
    <w:p>
      <w:pPr>
        <w:pStyle w:val="65"/>
        <w:spacing w:line="360" w:lineRule="auto"/>
        <w:ind w:firstLine="480"/>
        <w:rPr>
          <w:rFonts w:eastAsia="Times New Roman"/>
          <w:kern w:val="0"/>
          <w:sz w:val="24"/>
          <w:szCs w:val="24"/>
        </w:rPr>
      </w:pPr>
      <w:r>
        <w:rPr>
          <w:rFonts w:ascii="宋体" w:hAnsi="宋体" w:cs="宋体"/>
          <w:kern w:val="0"/>
          <w:sz w:val="24"/>
          <w:szCs w:val="24"/>
        </w:rPr>
        <w:t>（四）基金份额上市交易公告书</w:t>
      </w:r>
    </w:p>
    <w:p>
      <w:pPr>
        <w:pStyle w:val="65"/>
        <w:spacing w:line="360" w:lineRule="auto"/>
        <w:ind w:firstLine="480"/>
        <w:rPr>
          <w:rFonts w:eastAsia="Times New Roman"/>
          <w:kern w:val="0"/>
          <w:sz w:val="24"/>
          <w:szCs w:val="24"/>
        </w:rPr>
      </w:pPr>
      <w:r>
        <w:rPr>
          <w:rFonts w:ascii="宋体" w:hAnsi="宋体" w:cs="宋体"/>
          <w:kern w:val="0"/>
          <w:sz w:val="24"/>
          <w:szCs w:val="24"/>
        </w:rPr>
        <w:t>基金份额获准在证券交易所上市交易的，基金管理人应当在基金份额上市交易3个工作日前将基金份额上市交易公告书登载在规定网站上，并将上市交易公告书提示性公告登载在规定报刊上。</w:t>
      </w:r>
    </w:p>
    <w:p>
      <w:pPr>
        <w:pStyle w:val="65"/>
        <w:spacing w:line="360" w:lineRule="auto"/>
        <w:ind w:firstLine="480"/>
        <w:rPr>
          <w:rFonts w:eastAsia="Times New Roman"/>
          <w:kern w:val="0"/>
          <w:sz w:val="24"/>
          <w:szCs w:val="24"/>
        </w:rPr>
      </w:pPr>
      <w:r>
        <w:rPr>
          <w:rFonts w:ascii="宋体" w:hAnsi="宋体" w:cs="宋体"/>
          <w:kern w:val="0"/>
          <w:sz w:val="24"/>
          <w:szCs w:val="24"/>
        </w:rPr>
        <w:t>（五）基金份额折算日和折算结果公告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基金管理人确定基金份额折算日，并提前将基金份额折算日公告登载于规定媒介上。</w:t>
      </w:r>
    </w:p>
    <w:p>
      <w:pPr>
        <w:pStyle w:val="65"/>
        <w:spacing w:line="360" w:lineRule="auto"/>
        <w:ind w:firstLine="480"/>
        <w:rPr>
          <w:rFonts w:eastAsia="Times New Roman"/>
          <w:kern w:val="0"/>
          <w:sz w:val="24"/>
          <w:szCs w:val="24"/>
        </w:rPr>
      </w:pPr>
      <w:r>
        <w:rPr>
          <w:rFonts w:ascii="宋体" w:hAnsi="宋体" w:cs="宋体"/>
          <w:kern w:val="0"/>
          <w:sz w:val="24"/>
          <w:szCs w:val="24"/>
        </w:rPr>
        <w:t>基金份额进行折算并由登记机构完成基金份额的变更登记后，基金管理人应将基金份额折算结果公告登载于规定媒介上。</w:t>
      </w:r>
    </w:p>
    <w:p>
      <w:pPr>
        <w:pStyle w:val="65"/>
        <w:spacing w:line="360" w:lineRule="auto"/>
        <w:ind w:firstLine="480"/>
        <w:rPr>
          <w:rFonts w:eastAsia="Times New Roman"/>
          <w:kern w:val="0"/>
          <w:sz w:val="24"/>
          <w:szCs w:val="24"/>
        </w:rPr>
      </w:pPr>
      <w:r>
        <w:rPr>
          <w:rFonts w:ascii="宋体" w:hAnsi="宋体" w:cs="宋体"/>
          <w:kern w:val="0"/>
          <w:sz w:val="24"/>
          <w:szCs w:val="24"/>
        </w:rPr>
        <w:t>（六）基金净值信息</w:t>
      </w:r>
    </w:p>
    <w:p>
      <w:pPr>
        <w:pStyle w:val="65"/>
        <w:spacing w:line="360" w:lineRule="auto"/>
        <w:ind w:firstLine="480"/>
        <w:rPr>
          <w:rFonts w:eastAsia="Times New Roman"/>
          <w:kern w:val="0"/>
          <w:sz w:val="24"/>
          <w:szCs w:val="24"/>
        </w:rPr>
      </w:pPr>
      <w:r>
        <w:rPr>
          <w:rFonts w:ascii="宋体" w:hAnsi="宋体" w:cs="宋体"/>
          <w:kern w:val="0"/>
          <w:sz w:val="24"/>
          <w:szCs w:val="24"/>
        </w:rPr>
        <w:t>《基金合同》生效后，在开始办理基金份额申购或者赎回且上市交易前，基金管理人应当至少每周在规定网站披露一次基金份额净值和基金份额累计净值。</w:t>
      </w:r>
    </w:p>
    <w:p>
      <w:pPr>
        <w:pStyle w:val="65"/>
        <w:spacing w:line="360" w:lineRule="auto"/>
        <w:ind w:firstLine="480"/>
        <w:rPr>
          <w:rFonts w:eastAsia="Times New Roman"/>
          <w:kern w:val="0"/>
          <w:sz w:val="24"/>
          <w:szCs w:val="24"/>
        </w:rPr>
      </w:pPr>
      <w:r>
        <w:rPr>
          <w:rStyle w:val="66"/>
          <w:rFonts w:ascii="宋体" w:hAnsi="宋体" w:cs="宋体"/>
          <w:kern w:val="0"/>
          <w:sz w:val="24"/>
          <w:szCs w:val="24"/>
        </w:rPr>
        <w:t>在开始办理基金份额申购或者赎回或基金上市交易后，基金管理人应当在不晚于每个开放日/交易日的次日，通过规定网站、基金销售机构网站或者营业网点披露开放日/交易日的基金份额净值和基金份额累计净值。</w:t>
      </w:r>
    </w:p>
    <w:p>
      <w:pPr>
        <w:pStyle w:val="65"/>
        <w:spacing w:line="360" w:lineRule="auto"/>
        <w:ind w:firstLine="480"/>
        <w:rPr>
          <w:rFonts w:eastAsia="Times New Roman"/>
          <w:kern w:val="0"/>
          <w:sz w:val="24"/>
          <w:szCs w:val="24"/>
        </w:rPr>
      </w:pPr>
      <w:r>
        <w:rPr>
          <w:rStyle w:val="66"/>
          <w:rFonts w:ascii="宋体" w:hAnsi="宋体" w:cs="宋体"/>
          <w:kern w:val="0"/>
          <w:sz w:val="24"/>
          <w:szCs w:val="24"/>
        </w:rPr>
        <w:t>基金管理人应当在不晚于半年度和年度最后一日的次日，在规定网站披露半年度和年度最后一日的基金份额净值和基金份额累计净值。</w:t>
      </w:r>
    </w:p>
    <w:p>
      <w:pPr>
        <w:pStyle w:val="65"/>
        <w:spacing w:line="360" w:lineRule="auto"/>
        <w:ind w:firstLine="480"/>
        <w:rPr>
          <w:rFonts w:eastAsia="Times New Roman"/>
          <w:kern w:val="0"/>
          <w:sz w:val="24"/>
          <w:szCs w:val="24"/>
        </w:rPr>
      </w:pPr>
      <w:r>
        <w:rPr>
          <w:rFonts w:ascii="宋体" w:hAnsi="宋体" w:cs="宋体"/>
          <w:kern w:val="0"/>
          <w:sz w:val="24"/>
          <w:szCs w:val="24"/>
        </w:rPr>
        <w:t>（七）基金份额申购、赎回清单公告</w:t>
      </w:r>
    </w:p>
    <w:p>
      <w:pPr>
        <w:pStyle w:val="65"/>
        <w:spacing w:line="360" w:lineRule="auto"/>
        <w:ind w:firstLine="480"/>
        <w:rPr>
          <w:rFonts w:eastAsia="Times New Roman"/>
          <w:kern w:val="0"/>
          <w:sz w:val="24"/>
          <w:szCs w:val="24"/>
        </w:rPr>
      </w:pPr>
      <w:r>
        <w:rPr>
          <w:rFonts w:ascii="宋体" w:hAnsi="宋体" w:cs="宋体"/>
          <w:kern w:val="0"/>
          <w:sz w:val="24"/>
          <w:szCs w:val="24"/>
        </w:rPr>
        <w:t>在开始办理基金份额申购或者赎回之后，基金管理人应当在每个开放日，通过其网站、申购赎回代理券商以及其他媒介公告当日的申购赎回清单。</w:t>
      </w:r>
    </w:p>
    <w:p>
      <w:pPr>
        <w:pStyle w:val="65"/>
        <w:spacing w:line="360" w:lineRule="auto"/>
        <w:ind w:firstLine="480"/>
        <w:rPr>
          <w:rFonts w:eastAsia="Times New Roman"/>
          <w:kern w:val="0"/>
          <w:sz w:val="24"/>
          <w:szCs w:val="24"/>
        </w:rPr>
      </w:pPr>
      <w:r>
        <w:rPr>
          <w:rFonts w:ascii="宋体" w:hAnsi="宋体" w:cs="宋体"/>
          <w:kern w:val="0"/>
          <w:sz w:val="24"/>
          <w:szCs w:val="24"/>
        </w:rPr>
        <w:t>（八）基金定期报告，包括基金年度报告、基金中期报告和基金季度报告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pPr>
        <w:pStyle w:val="65"/>
        <w:spacing w:line="360" w:lineRule="auto"/>
        <w:ind w:firstLine="48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pPr>
        <w:pStyle w:val="65"/>
        <w:spacing w:line="360" w:lineRule="auto"/>
        <w:ind w:firstLine="48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pStyle w:val="65"/>
        <w:spacing w:line="360" w:lineRule="auto"/>
        <w:ind w:firstLine="48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pPr>
        <w:pStyle w:val="65"/>
        <w:spacing w:line="360" w:lineRule="auto"/>
        <w:ind w:firstLine="480"/>
        <w:rPr>
          <w:rFonts w:eastAsia="Times New Roman"/>
          <w:kern w:val="0"/>
          <w:sz w:val="24"/>
          <w:szCs w:val="24"/>
        </w:rPr>
      </w:pPr>
      <w:r>
        <w:rPr>
          <w:rFonts w:ascii="宋体" w:hAnsi="宋体" w:cs="宋体"/>
          <w:kern w:val="0"/>
          <w:sz w:val="24"/>
          <w:szCs w:val="24"/>
        </w:rPr>
        <w:t>（九）临时报告</w:t>
      </w:r>
    </w:p>
    <w:p>
      <w:pPr>
        <w:pStyle w:val="65"/>
        <w:spacing w:line="360" w:lineRule="auto"/>
        <w:ind w:firstLine="48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pPr>
        <w:pStyle w:val="65"/>
        <w:spacing w:line="360" w:lineRule="auto"/>
        <w:ind w:firstLine="48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基金份额持有人大会的召开及决定的事项；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《基金合同》终止、基金清算；</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转换基金运作方式、基金合并；</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4、更换基金管理人、基金托管人、基金份额登记机构，基金改聘会计师事务所；</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6、基金管理人、基金托管人的法定名称、住所发生变更；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8、</w:t>
      </w:r>
      <w:r>
        <w:rPr>
          <w:rFonts w:ascii="宋体" w:hAnsi="宋体" w:cs="宋体"/>
          <w:kern w:val="0"/>
          <w:sz w:val="24"/>
          <w:szCs w:val="24"/>
        </w:rPr>
        <w:t>基金募集期延长或提前结束募集；</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11、</w:t>
      </w:r>
      <w:r>
        <w:rPr>
          <w:rFonts w:ascii="宋体" w:hAnsi="宋体" w:cs="宋体"/>
          <w:kern w:val="0"/>
          <w:sz w:val="24"/>
          <w:szCs w:val="24"/>
        </w:rPr>
        <w:t>涉及基金财产、基金管理业务、基金托管业务的诉讼或仲裁；</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14、</w:t>
      </w:r>
      <w:r>
        <w:rPr>
          <w:rFonts w:ascii="宋体" w:hAnsi="宋体" w:cs="宋体"/>
          <w:kern w:val="0"/>
          <w:sz w:val="24"/>
          <w:szCs w:val="24"/>
        </w:rPr>
        <w:t>基金收益分配事项；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15、</w:t>
      </w:r>
      <w:r>
        <w:rPr>
          <w:rFonts w:ascii="宋体" w:hAnsi="宋体" w:cs="宋体"/>
          <w:kern w:val="0"/>
          <w:sz w:val="24"/>
          <w:szCs w:val="24"/>
        </w:rPr>
        <w:t>管理费、托管费、申购费和赎回费等费用计提标准、计提方式和费率发生变更；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16、</w:t>
      </w:r>
      <w:r>
        <w:rPr>
          <w:rFonts w:ascii="宋体" w:hAnsi="宋体" w:cs="宋体"/>
          <w:kern w:val="0"/>
          <w:sz w:val="24"/>
          <w:szCs w:val="24"/>
        </w:rPr>
        <w:t>基金份额净值估值错误达基金份额净值百分之零点五；</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17、</w:t>
      </w:r>
      <w:r>
        <w:rPr>
          <w:rFonts w:ascii="宋体" w:hAnsi="宋体" w:cs="宋体"/>
          <w:kern w:val="0"/>
          <w:sz w:val="24"/>
          <w:szCs w:val="24"/>
        </w:rPr>
        <w:t>本基金开始办理申购、赎回；</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18、</w:t>
      </w:r>
      <w:r>
        <w:rPr>
          <w:rFonts w:ascii="宋体" w:hAnsi="宋体" w:cs="宋体"/>
          <w:kern w:val="0"/>
          <w:sz w:val="24"/>
          <w:szCs w:val="24"/>
        </w:rPr>
        <w:t>本基金暂停接受申购、赎回申请或者重新接受申购、赎回申请；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19、</w:t>
      </w:r>
      <w:r>
        <w:rPr>
          <w:rFonts w:ascii="宋体" w:hAnsi="宋体" w:cs="宋体"/>
          <w:kern w:val="0"/>
          <w:sz w:val="24"/>
          <w:szCs w:val="24"/>
        </w:rPr>
        <w:t>本基金变更标的指数；</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20、基金份额停复牌、暂停上市、恢复上市或终止上市交易；</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21、</w:t>
      </w:r>
      <w:r>
        <w:rPr>
          <w:rFonts w:ascii="宋体" w:hAnsi="宋体" w:cs="宋体"/>
          <w:kern w:val="0"/>
          <w:sz w:val="24"/>
          <w:szCs w:val="24"/>
        </w:rPr>
        <w:t>本基金推出新业务或服务；</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22、</w:t>
      </w:r>
      <w:r>
        <w:rPr>
          <w:rFonts w:ascii="宋体" w:hAnsi="宋体" w:cs="宋体"/>
          <w:kern w:val="0"/>
          <w:sz w:val="24"/>
          <w:szCs w:val="24"/>
        </w:rPr>
        <w:t>调整最小申购赎回单位、申购赎回方式及申购对价、赎回对价组成；</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24、</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pPr>
        <w:pStyle w:val="65"/>
        <w:spacing w:line="360" w:lineRule="auto"/>
        <w:ind w:firstLine="480"/>
        <w:rPr>
          <w:rFonts w:eastAsia="Times New Roman"/>
          <w:kern w:val="0"/>
          <w:sz w:val="24"/>
          <w:szCs w:val="24"/>
        </w:rPr>
      </w:pPr>
      <w:r>
        <w:rPr>
          <w:rFonts w:ascii="宋体" w:hAnsi="宋体" w:cs="宋体"/>
          <w:kern w:val="0"/>
          <w:sz w:val="24"/>
          <w:szCs w:val="24"/>
        </w:rPr>
        <w:t>（十）澄清公告</w:t>
      </w:r>
    </w:p>
    <w:p>
      <w:pPr>
        <w:pStyle w:val="65"/>
        <w:spacing w:line="360" w:lineRule="auto"/>
        <w:ind w:firstLine="480"/>
        <w:rPr>
          <w:rFonts w:eastAsia="Times New Roman"/>
          <w:kern w:val="0"/>
          <w:sz w:val="24"/>
          <w:szCs w:val="24"/>
        </w:rPr>
      </w:pPr>
      <w:r>
        <w:rPr>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pPr>
        <w:pStyle w:val="65"/>
        <w:spacing w:line="360" w:lineRule="auto"/>
        <w:ind w:firstLine="480"/>
        <w:rPr>
          <w:rFonts w:eastAsia="Times New Roman"/>
          <w:kern w:val="0"/>
          <w:sz w:val="24"/>
          <w:szCs w:val="24"/>
        </w:rPr>
      </w:pPr>
      <w:r>
        <w:rPr>
          <w:rFonts w:ascii="宋体" w:hAnsi="宋体" w:cs="宋体"/>
          <w:kern w:val="0"/>
          <w:sz w:val="24"/>
          <w:szCs w:val="24"/>
        </w:rPr>
        <w:t>（十一）清算报告</w:t>
      </w:r>
    </w:p>
    <w:p>
      <w:pPr>
        <w:pStyle w:val="65"/>
        <w:spacing w:line="360" w:lineRule="auto"/>
        <w:ind w:firstLine="48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基金合同终止情形发生时，基金管理人应当依法组织基金财产清算小组对基金财产进行清算并作出清算报告。基金财产清算小组应当将清算报告登载在规定网站上，并将清算报告提示性公告登载在规定报刊上。</w:t>
      </w:r>
    </w:p>
    <w:p>
      <w:pPr>
        <w:pStyle w:val="65"/>
        <w:spacing w:line="360" w:lineRule="auto"/>
        <w:ind w:firstLine="480"/>
        <w:rPr>
          <w:rFonts w:eastAsia="Times New Roman"/>
          <w:kern w:val="0"/>
          <w:sz w:val="24"/>
          <w:szCs w:val="24"/>
        </w:rPr>
      </w:pPr>
      <w:r>
        <w:rPr>
          <w:rFonts w:ascii="宋体" w:hAnsi="宋体" w:cs="宋体"/>
          <w:kern w:val="0"/>
          <w:sz w:val="24"/>
          <w:szCs w:val="24"/>
        </w:rPr>
        <w:t>（十二）基金份额持有人大会决议</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pPr>
        <w:pStyle w:val="65"/>
        <w:spacing w:line="360" w:lineRule="auto"/>
        <w:ind w:firstLine="480"/>
        <w:rPr>
          <w:rFonts w:eastAsia="Times New Roman"/>
          <w:kern w:val="0"/>
          <w:sz w:val="24"/>
          <w:szCs w:val="24"/>
        </w:rPr>
      </w:pPr>
      <w:r>
        <w:rPr>
          <w:rFonts w:ascii="宋体" w:hAnsi="宋体" w:cs="宋体"/>
          <w:kern w:val="0"/>
          <w:sz w:val="24"/>
          <w:szCs w:val="24"/>
        </w:rPr>
        <w:t>（十三）中国证监会规定的其他信息</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参与股指期货投资，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参与国债期货投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参与股票期权投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pPr>
        <w:pStyle w:val="65"/>
        <w:spacing w:line="360" w:lineRule="auto"/>
        <w:ind w:firstLine="480"/>
        <w:rPr>
          <w:rFonts w:eastAsia="Times New Roman"/>
          <w:kern w:val="0"/>
          <w:sz w:val="24"/>
          <w:szCs w:val="24"/>
        </w:rPr>
      </w:pPr>
      <w:r>
        <w:rPr>
          <w:rStyle w:val="66"/>
          <w:rFonts w:ascii="宋体" w:hAnsi="宋体" w:cs="宋体"/>
          <w:kern w:val="0"/>
          <w:sz w:val="24"/>
          <w:szCs w:val="24"/>
        </w:rPr>
        <w:t>本基金参与融资业务，基金管理人应在季度报告、中期报告、年度报告等定期报告和招募说明书（更新）等文件中披露参与融资交易的情况，包括投资策略、业务开展情况、损益情况、风险及管理情况。</w:t>
      </w:r>
    </w:p>
    <w:p>
      <w:pPr>
        <w:pStyle w:val="65"/>
        <w:spacing w:line="360" w:lineRule="auto"/>
        <w:ind w:firstLine="480"/>
        <w:rPr>
          <w:rFonts w:eastAsia="Times New Roman"/>
          <w:kern w:val="0"/>
          <w:sz w:val="24"/>
          <w:szCs w:val="24"/>
        </w:rPr>
      </w:pPr>
      <w:r>
        <w:rPr>
          <w:rStyle w:val="66"/>
          <w:rFonts w:ascii="宋体" w:hAnsi="宋体" w:cs="宋体"/>
          <w:kern w:val="0"/>
          <w:sz w:val="24"/>
          <w:szCs w:val="24"/>
        </w:rPr>
        <w:t>若本基金参与转融通证券出借业务，基金管理人应在季度报告、中期报告、年度报告等定期报告和招募说明书（更新）等文件中披露参与转融通证券出借业务交易的情况，包括投资策略、业务开展情况、损益情况、风险及管理情况，并就报告期内本基金参与转融通证券出借业务发生的重大关联交易事项做详细说明。</w:t>
      </w:r>
    </w:p>
    <w:p>
      <w:pPr>
        <w:pStyle w:val="65"/>
        <w:spacing w:line="360" w:lineRule="auto"/>
        <w:ind w:firstLine="480"/>
        <w:rPr>
          <w:rFonts w:eastAsia="Times New Roman"/>
          <w:kern w:val="0"/>
          <w:sz w:val="24"/>
          <w:szCs w:val="24"/>
        </w:rPr>
      </w:pPr>
      <w:r>
        <w:rPr>
          <w:rFonts w:ascii="宋体" w:hAnsi="宋体" w:cs="宋体"/>
          <w:kern w:val="0"/>
          <w:sz w:val="24"/>
          <w:szCs w:val="24"/>
        </w:rPr>
        <w:t>六、暂停或延迟信息披露的情形</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1、基金投资所涉及的证券/期货交易所遇法定节假日或因其他原因暂停营业时；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当前一估值日基金资产净值50%以上的资产出现无可参考的活跃市场价格且采用估值技术仍导致公允价值存在重大不确定性，并经与基金托管人协商确认后，基金管理人应当暂停估值时；</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法律法规规定、中国证监会或《基金合同》认定的其他情形。</w:t>
      </w:r>
    </w:p>
    <w:p>
      <w:pPr>
        <w:pStyle w:val="65"/>
        <w:spacing w:line="360" w:lineRule="auto"/>
        <w:ind w:firstLine="480"/>
        <w:rPr>
          <w:rFonts w:eastAsia="Times New Roman"/>
          <w:kern w:val="0"/>
          <w:sz w:val="24"/>
          <w:szCs w:val="24"/>
        </w:rPr>
      </w:pPr>
      <w:r>
        <w:rPr>
          <w:rFonts w:ascii="宋体" w:hAnsi="宋体" w:cs="宋体"/>
          <w:kern w:val="0"/>
          <w:sz w:val="24"/>
          <w:szCs w:val="24"/>
        </w:rPr>
        <w:t>七、信息披露事务管理</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pPr>
        <w:pStyle w:val="65"/>
        <w:spacing w:line="360" w:lineRule="auto"/>
        <w:ind w:firstLine="48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pPr>
        <w:pStyle w:val="65"/>
        <w:spacing w:line="360" w:lineRule="auto"/>
        <w:ind w:firstLine="480"/>
        <w:rPr>
          <w:rFonts w:eastAsia="Times New Roman"/>
          <w:kern w:val="0"/>
          <w:sz w:val="24"/>
          <w:szCs w:val="24"/>
        </w:rPr>
      </w:pPr>
      <w:r>
        <w:rPr>
          <w:rFonts w:ascii="宋体" w:hAnsi="宋体" w:cs="宋体"/>
          <w:kern w:val="0"/>
          <w:sz w:val="24"/>
          <w:szCs w:val="24"/>
        </w:rPr>
        <w:t>基金托管人应当按照相关法律法规、中国证监会的规定和《基金合同》的约定，对基金管理人编制的基金资产净值、基金份额净值、</w:t>
      </w:r>
      <w:r>
        <w:rPr>
          <w:rStyle w:val="66"/>
          <w:rFonts w:ascii="宋体" w:hAnsi="宋体" w:cs="宋体"/>
          <w:kern w:val="0"/>
          <w:sz w:val="24"/>
          <w:szCs w:val="24"/>
        </w:rPr>
        <w:t>基金份额申购赎回对价的现金部分、</w:t>
      </w:r>
      <w:r>
        <w:rPr>
          <w:rFonts w:ascii="宋体" w:hAnsi="宋体" w:cs="宋体"/>
          <w:kern w:val="0"/>
          <w:sz w:val="24"/>
          <w:szCs w:val="24"/>
        </w:rPr>
        <w:t>基金定期报告、更新的招募说明书、更新的基金产品资料概要、基金清算报告等公开披露的相关基金信息进行复核、审查，并向基金管理人进行书面或电子确认。</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pStyle w:val="65"/>
        <w:spacing w:line="360" w:lineRule="auto"/>
        <w:ind w:firstLine="48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pPr>
        <w:pStyle w:val="65"/>
        <w:spacing w:line="360" w:lineRule="auto"/>
        <w:ind w:firstLine="480"/>
        <w:rPr>
          <w:rFonts w:eastAsia="Times New Roman"/>
          <w:kern w:val="0"/>
          <w:sz w:val="24"/>
          <w:szCs w:val="24"/>
        </w:rPr>
      </w:pPr>
      <w:r>
        <w:rPr>
          <w:rFonts w:ascii="宋体" w:hAnsi="宋体" w:cs="宋体"/>
          <w:kern w:val="0"/>
          <w:sz w:val="24"/>
          <w:szCs w:val="24"/>
        </w:rPr>
        <w:t>八、信息披露文件的存放与查阅</w:t>
      </w:r>
    </w:p>
    <w:p>
      <w:pPr>
        <w:pStyle w:val="65"/>
        <w:spacing w:line="360" w:lineRule="auto"/>
        <w:ind w:firstLine="480"/>
        <w:rPr>
          <w:rFonts w:eastAsia="Times New Roman"/>
          <w:kern w:val="0"/>
          <w:sz w:val="24"/>
          <w:szCs w:val="24"/>
        </w:rPr>
      </w:pPr>
      <w:r>
        <w:rPr>
          <w:rFonts w:ascii="宋体" w:hAnsi="宋体" w:cs="宋体"/>
          <w:kern w:val="0"/>
          <w:sz w:val="24"/>
          <w:szCs w:val="24"/>
        </w:rPr>
        <w:t>依法必须披露的信息发布后，基金管理人、基金托管人应当按照相关法律法规规定将信息置备于各自住所、基金上市交易的证券交易所，供社会公众查阅、复制。</w:t>
      </w:r>
      <w:r>
        <w:rPr>
          <w:rFonts w:ascii="宋体" w:hAnsi="宋体" w:cs="宋体"/>
          <w:kern w:val="0"/>
          <w:sz w:val="24"/>
          <w:szCs w:val="24"/>
        </w:rPr>
        <w:br w:type="page"/>
      </w:r>
    </w:p>
    <w:p>
      <w:pPr>
        <w:pStyle w:val="2"/>
        <w:spacing w:before="0" w:after="0"/>
        <w:jc w:val="center"/>
        <w:rPr>
          <w:rFonts w:ascii="Times New Roman"/>
          <w:color w:val="auto"/>
          <w:sz w:val="30"/>
        </w:rPr>
      </w:pPr>
      <w:bookmarkStart w:id="60" w:name="_Toc256000020"/>
      <w:r>
        <w:rPr>
          <w:rFonts w:ascii="Times New Roman"/>
          <w:color w:val="auto"/>
          <w:sz w:val="30"/>
        </w:rPr>
        <w:t>第二十一部分  基金合同的变更、终止与基金财产的清算</w:t>
      </w:r>
      <w:bookmarkEnd w:id="60"/>
    </w:p>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一、《基金合同》的变更</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二、《基金合同》的终止事由</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有下列情形之一的，经履行相关程序后，《基金合同》应当终止：</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基金份额持有人大会决定终止的；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《基金合同》约定的其他情形；</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相关法律法规和中国证监会规定的其他情况。</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三、基金财产的清算</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4、基金财产清算程序：</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四、清算费用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五、基金财产清算剩余资产的分配</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六、基金财产清算的公告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七、基金财产清算账册及文件的保存</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pPr>
        <w:pStyle w:val="2"/>
        <w:spacing w:before="0" w:after="0"/>
        <w:jc w:val="center"/>
        <w:rPr>
          <w:rFonts w:ascii="Times New Roman"/>
          <w:color w:val="auto"/>
          <w:sz w:val="30"/>
        </w:rPr>
      </w:pPr>
      <w:bookmarkStart w:id="61" w:name="_Toc256000021"/>
      <w:r>
        <w:rPr>
          <w:rFonts w:ascii="Times New Roman"/>
          <w:color w:val="auto"/>
          <w:sz w:val="30"/>
        </w:rPr>
        <w:t>第二十二部分  违约责任</w:t>
      </w:r>
      <w:bookmarkEnd w:id="61"/>
    </w:p>
    <w:p/>
    <w:p>
      <w:pPr>
        <w:pStyle w:val="65"/>
        <w:spacing w:line="360" w:lineRule="auto"/>
        <w:ind w:firstLine="480"/>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pPr>
        <w:pStyle w:val="65"/>
        <w:spacing w:line="360" w:lineRule="auto"/>
        <w:ind w:firstLine="480"/>
        <w:rPr>
          <w:rFonts w:eastAsia="Times New Roman"/>
          <w:kern w:val="0"/>
          <w:sz w:val="24"/>
          <w:szCs w:val="24"/>
        </w:rPr>
      </w:pPr>
      <w:r>
        <w:rPr>
          <w:rFonts w:ascii="宋体" w:hAnsi="宋体" w:cs="宋体"/>
          <w:kern w:val="0"/>
          <w:sz w:val="24"/>
          <w:szCs w:val="24"/>
        </w:rPr>
        <w:t>1、不可抗力；</w:t>
      </w:r>
    </w:p>
    <w:p>
      <w:pPr>
        <w:pStyle w:val="65"/>
        <w:spacing w:line="360" w:lineRule="auto"/>
        <w:ind w:firstLine="48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pPr>
        <w:pStyle w:val="65"/>
        <w:spacing w:line="360" w:lineRule="auto"/>
        <w:ind w:firstLine="48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pPr>
        <w:pStyle w:val="65"/>
        <w:spacing w:line="360" w:lineRule="auto"/>
        <w:ind w:firstLine="48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pStyle w:val="65"/>
        <w:spacing w:line="360" w:lineRule="auto"/>
        <w:ind w:firstLine="48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pPr>
        <w:pStyle w:val="2"/>
        <w:spacing w:before="0" w:after="0"/>
        <w:jc w:val="center"/>
        <w:rPr>
          <w:rFonts w:ascii="Times New Roman"/>
          <w:color w:val="auto"/>
          <w:sz w:val="30"/>
        </w:rPr>
      </w:pPr>
      <w:bookmarkStart w:id="62" w:name="_Toc256000022"/>
      <w:r>
        <w:rPr>
          <w:rFonts w:ascii="Times New Roman"/>
          <w:color w:val="auto"/>
          <w:sz w:val="30"/>
        </w:rPr>
        <w:t>第二十三部分  争议的处理和适用的法律</w:t>
      </w:r>
      <w:bookmarkEnd w:id="62"/>
    </w:p>
    <w:p/>
    <w:p>
      <w:pPr>
        <w:pStyle w:val="65"/>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pPr>
        <w:pStyle w:val="65"/>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pPr>
        <w:pStyle w:val="65"/>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pPr>
        <w:pStyle w:val="2"/>
        <w:spacing w:before="0" w:after="0"/>
        <w:jc w:val="center"/>
        <w:rPr>
          <w:rFonts w:ascii="Times New Roman"/>
          <w:color w:val="auto"/>
          <w:sz w:val="30"/>
        </w:rPr>
      </w:pPr>
      <w:bookmarkStart w:id="63" w:name="_Toc256000023"/>
      <w:r>
        <w:rPr>
          <w:rFonts w:ascii="Times New Roman"/>
          <w:color w:val="auto"/>
          <w:sz w:val="30"/>
        </w:rPr>
        <w:t>第二十四部分  基金合同的效力</w:t>
      </w:r>
      <w:bookmarkEnd w:id="63"/>
    </w:p>
    <w:p/>
    <w:p>
      <w:pPr>
        <w:pStyle w:val="65"/>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pPr>
        <w:pStyle w:val="65"/>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pPr>
        <w:pStyle w:val="65"/>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pPr>
        <w:pStyle w:val="65"/>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pPr>
        <w:pStyle w:val="65"/>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pPr>
        <w:pStyle w:val="65"/>
        <w:spacing w:line="360" w:lineRule="auto"/>
        <w:ind w:firstLine="480"/>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pPr>
        <w:pStyle w:val="2"/>
        <w:spacing w:before="0" w:after="0"/>
        <w:jc w:val="center"/>
        <w:rPr>
          <w:rFonts w:ascii="Times New Roman"/>
          <w:color w:val="auto"/>
          <w:sz w:val="30"/>
        </w:rPr>
      </w:pPr>
      <w:bookmarkStart w:id="64" w:name="_Toc256000024"/>
      <w:r>
        <w:rPr>
          <w:rFonts w:ascii="Times New Roman"/>
          <w:color w:val="auto"/>
          <w:sz w:val="30"/>
        </w:rPr>
        <w:t>第二十五部分  其他事项</w:t>
      </w:r>
      <w:bookmarkEnd w:id="64"/>
    </w:p>
    <w:p/>
    <w:p>
      <w:pPr>
        <w:pStyle w:val="65"/>
        <w:spacing w:line="360" w:lineRule="auto"/>
        <w:ind w:firstLine="48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pPr>
        <w:pStyle w:val="2"/>
        <w:spacing w:before="0" w:after="0"/>
        <w:jc w:val="center"/>
        <w:rPr>
          <w:rFonts w:ascii="Times New Roman"/>
          <w:color w:val="auto"/>
          <w:sz w:val="30"/>
        </w:rPr>
      </w:pPr>
      <w:bookmarkStart w:id="65" w:name="_Toc256000025"/>
      <w:r>
        <w:rPr>
          <w:rFonts w:ascii="Times New Roman"/>
          <w:color w:val="auto"/>
          <w:sz w:val="30"/>
        </w:rPr>
        <w:t>第二十六部分  基金合同内容摘要</w:t>
      </w:r>
      <w:bookmarkEnd w:id="65"/>
    </w:p>
    <w:p>
      <w:pPr>
        <w:rPr>
          <w:rFonts w:ascii="Times New Roman"/>
          <w:color w:val="auto"/>
          <w:sz w:val="30"/>
        </w:rPr>
      </w:pP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一、基金合同当事人及权利义务</w:t>
      </w:r>
    </w:p>
    <w:p>
      <w:pPr>
        <w:spacing w:line="360" w:lineRule="auto"/>
        <w:ind w:firstLine="420"/>
        <w:rPr>
          <w:rFonts w:eastAsia="Times New Roman"/>
          <w:sz w:val="24"/>
          <w:szCs w:val="24"/>
        </w:rPr>
      </w:pPr>
      <w:r>
        <w:rPr>
          <w:rFonts w:ascii="宋体" w:hAnsi="宋体" w:cs="宋体"/>
          <w:sz w:val="24"/>
          <w:szCs w:val="24"/>
        </w:rPr>
        <w:t>（一）基金管理人的权利与义务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依法募集资金；</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销售基金份额；</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按照规定召集基金份额持有人大会；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在基金托管人更换时，提名新的基金托管人；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担任或委托其他符合条件的机构担任基金登记机构办理基金登记业务并获得《基金合同》规定的费用；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依据《基金合同》及有关法律规定决定基金收益的分配方案；</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在《基金合同》约定的范围内，拒绝或暂停受理申购与赎回申请；</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（12）依照法律法规为基金的利益对被投资公司行使股东权利，为基金的利益行使因基金财产投资于证券所产生的权利；</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（13）在法律法规允许的前提下，为基金的利益依法为基金进行融资及转融通证券出借业务；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（15）选择、更换律师事务所、会计师事务所、证券经纪商、期货经纪机构或其他为基金提供服务的外部机构；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在符合有关法律、法规的前提下，制订和调整有关基金认购、申购、赎回等业务规则；</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（17）法律法规及中国证监会规定的和《基金合同》约定的其他权利。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依法募集资金，办理或者委托经中国证监会认定的其他机构代为办理基金份额的发售、申购、赎回和登记事宜；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办理基金备案手续；</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除依据《基金法》、《基金合同》及其他有关规定外，不得利用基金财产为自己及任何第三人谋取利益，不得委托第三人运作基金财产；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依法接受基金托管人的监督；</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采取适当合理的措施使计算基金份额认购价格、申购对价、赎回对价和注销价格的方法符合《基金合同》等法律文件的规定，按有关规定计算并公告基金净值信息，确定基金份额申购、赎回的对价，编制申购赎回清单；</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进行基金会计核算并编制基金财务会计报告；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编制季度报告、中期报告和年度报告；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（14）</w:t>
      </w:r>
      <w:r>
        <w:rPr>
          <w:rFonts w:ascii="宋体" w:hAnsi="宋体" w:cs="宋体"/>
          <w:kern w:val="0"/>
          <w:sz w:val="24"/>
          <w:szCs w:val="24"/>
        </w:rPr>
        <w:t>按规定受理申购与赎回申请，及时、足额支付赎回对价；</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同时由登记机构将已冻结的股票解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（25）</w:t>
      </w:r>
      <w:r>
        <w:rPr>
          <w:rFonts w:ascii="宋体" w:hAnsi="宋体" w:cs="宋体"/>
          <w:kern w:val="0"/>
          <w:sz w:val="24"/>
          <w:szCs w:val="24"/>
        </w:rPr>
        <w:t>执行生效的基金份额持有人大会的决议；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（26）</w:t>
      </w:r>
      <w:r>
        <w:rPr>
          <w:rFonts w:ascii="宋体" w:hAnsi="宋体" w:cs="宋体"/>
          <w:kern w:val="0"/>
          <w:sz w:val="24"/>
          <w:szCs w:val="24"/>
        </w:rPr>
        <w:t>建立并保存基金份额持有人名册；</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（27）法律法规及中国证监会规定的和《基金合同》约定的其他义务。</w:t>
      </w:r>
    </w:p>
    <w:p>
      <w:pPr>
        <w:spacing w:line="360" w:lineRule="auto"/>
        <w:ind w:firstLine="420"/>
        <w:rPr>
          <w:rFonts w:eastAsia="Times New Roman"/>
          <w:sz w:val="24"/>
          <w:szCs w:val="24"/>
        </w:rPr>
      </w:pPr>
      <w:r>
        <w:rPr>
          <w:rFonts w:ascii="宋体" w:hAnsi="宋体" w:cs="宋体"/>
          <w:sz w:val="24"/>
          <w:szCs w:val="24"/>
        </w:rPr>
        <w:t>（二）基金托管人的权利与义务</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自《基金合同》生效之日起，依法律法规和《基金合同》的规定安全保管基金财产；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（4）根据相关市场规则，</w:t>
      </w:r>
      <w:r>
        <w:rPr>
          <w:rStyle w:val="66"/>
          <w:rFonts w:hint="eastAsia" w:ascii="宋体" w:hAnsi="宋体" w:cs="宋体"/>
          <w:kern w:val="0"/>
          <w:sz w:val="24"/>
          <w:szCs w:val="24"/>
        </w:rPr>
        <w:t>为基金开设资金账户、证券账户和债券托管账户等投资所需账户</w:t>
      </w:r>
      <w:r>
        <w:rPr>
          <w:rStyle w:val="66"/>
          <w:rFonts w:ascii="宋体" w:hAnsi="宋体" w:cs="宋体"/>
          <w:kern w:val="0"/>
          <w:sz w:val="24"/>
          <w:szCs w:val="24"/>
        </w:rPr>
        <w:t>，为基金办理证券、期货交易资金清算；</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提议召开或召集基金份额持有人大会；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在基金管理人更换时，提名新的基金管理人；</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（7）法律法规及中国证监会规定的和《基金合同》约定的其他权利。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以诚实信用、勤勉尽责的原则持有并安全保管基金财产；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hint="eastAsia" w:ascii="宋体" w:hAnsi="宋体" w:cs="宋体"/>
          <w:kern w:val="0"/>
          <w:sz w:val="24"/>
          <w:szCs w:val="24"/>
        </w:rPr>
        <w:t>按规定开设基金财产的资金账户、证券账户和债券托管账户等投资所需账户</w:t>
      </w:r>
      <w:r>
        <w:rPr>
          <w:rFonts w:ascii="宋体" w:hAnsi="宋体" w:cs="宋体"/>
          <w:kern w:val="0"/>
          <w:sz w:val="24"/>
          <w:szCs w:val="24"/>
        </w:rPr>
        <w:t>，按照《基金合同》的约定，根据基金管理人的投资指令，及时办理清算、交割事宜；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（8）复核、审查基金管理人计算的基金资产净值、基金份额净值、基金份额申购、赎回对价的现金部分；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（9）</w:t>
      </w:r>
      <w:r>
        <w:rPr>
          <w:rFonts w:ascii="宋体" w:hAnsi="宋体" w:cs="宋体"/>
          <w:kern w:val="0"/>
          <w:sz w:val="24"/>
          <w:szCs w:val="24"/>
        </w:rPr>
        <w:t>办理与基金托管业务活动有关的信息披露事项；</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（11）保存基金托管业务活动的记录、账册、报表和其他相关资料不少于法定最低期限；</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（12）</w:t>
      </w:r>
      <w:r>
        <w:rPr>
          <w:rFonts w:ascii="宋体" w:hAnsi="宋体" w:cs="宋体"/>
          <w:kern w:val="0"/>
          <w:sz w:val="24"/>
          <w:szCs w:val="24"/>
        </w:rPr>
        <w:t>建立并保存基金份额持有人名册；</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（13）</w:t>
      </w:r>
      <w:r>
        <w:rPr>
          <w:rFonts w:ascii="宋体" w:hAnsi="宋体" w:cs="宋体"/>
          <w:kern w:val="0"/>
          <w:sz w:val="24"/>
          <w:szCs w:val="24"/>
        </w:rPr>
        <w:t>按规定制作相关账册并与基金管理人核对；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（14）依据基金管理人的指令或有关规定向基金份额持有人支付基金收益和赎回对价的现金部分；</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（18）面临解散、依法被撤销或者被依法宣告破产时，及时报告中国证监会，并通知基金管理人；</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（21）</w:t>
      </w:r>
      <w:r>
        <w:rPr>
          <w:rFonts w:ascii="宋体" w:hAnsi="宋体" w:cs="宋体"/>
          <w:kern w:val="0"/>
          <w:sz w:val="24"/>
          <w:szCs w:val="24"/>
        </w:rPr>
        <w:t>执行生效的基金份额持有人大会的决议；</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（22）法律法规及中国证监会规定的和《基金合同》约定的其他义务。</w:t>
      </w:r>
    </w:p>
    <w:p>
      <w:pPr>
        <w:spacing w:line="360" w:lineRule="auto"/>
        <w:ind w:firstLine="420"/>
        <w:rPr>
          <w:rFonts w:eastAsia="Times New Roman"/>
          <w:sz w:val="24"/>
          <w:szCs w:val="24"/>
        </w:rPr>
      </w:pPr>
      <w:r>
        <w:rPr>
          <w:rFonts w:ascii="宋体" w:hAnsi="宋体" w:cs="宋体"/>
          <w:sz w:val="24"/>
          <w:szCs w:val="24"/>
        </w:rPr>
        <w:t>（三）基金份额持有人的权利和义务</w:t>
      </w:r>
    </w:p>
    <w:p>
      <w:pPr>
        <w:pStyle w:val="65"/>
        <w:spacing w:line="360" w:lineRule="auto"/>
        <w:ind w:firstLine="480"/>
        <w:rPr>
          <w:rFonts w:eastAsia="Times New Roman"/>
          <w:kern w:val="0"/>
          <w:sz w:val="24"/>
          <w:szCs w:val="24"/>
        </w:rPr>
      </w:pPr>
      <w:r>
        <w:rPr>
          <w:rFonts w:ascii="宋体" w:hAnsi="宋体" w:cs="宋体"/>
          <w:kern w:val="0"/>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pStyle w:val="65"/>
        <w:spacing w:line="360" w:lineRule="auto"/>
        <w:ind w:firstLine="480"/>
        <w:rPr>
          <w:rFonts w:eastAsia="Times New Roman"/>
          <w:kern w:val="0"/>
          <w:sz w:val="24"/>
          <w:szCs w:val="24"/>
        </w:rPr>
      </w:pPr>
      <w:r>
        <w:rPr>
          <w:rFonts w:ascii="宋体" w:hAnsi="宋体" w:cs="宋体"/>
          <w:kern w:val="0"/>
          <w:sz w:val="24"/>
          <w:szCs w:val="24"/>
        </w:rPr>
        <w:t>每份基金份额具有同等的合法权益。</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pPr>
        <w:pStyle w:val="65"/>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pPr>
        <w:pStyle w:val="65"/>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pPr>
        <w:pStyle w:val="65"/>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pPr>
        <w:pStyle w:val="65"/>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pPr>
        <w:pStyle w:val="65"/>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pPr>
        <w:pStyle w:val="65"/>
        <w:spacing w:line="360" w:lineRule="auto"/>
        <w:ind w:firstLine="480"/>
        <w:rPr>
          <w:rFonts w:eastAsia="Times New Roman"/>
          <w:kern w:val="0"/>
          <w:sz w:val="24"/>
          <w:szCs w:val="24"/>
        </w:rPr>
      </w:pPr>
      <w:r>
        <w:rPr>
          <w:rFonts w:ascii="宋体" w:hAnsi="宋体" w:cs="宋体"/>
          <w:kern w:val="0"/>
          <w:sz w:val="24"/>
          <w:szCs w:val="24"/>
        </w:rPr>
        <w:t>（6）查阅或者复制公开披露的基金信息资料；</w:t>
      </w:r>
    </w:p>
    <w:p>
      <w:pPr>
        <w:pStyle w:val="65"/>
        <w:spacing w:line="360" w:lineRule="auto"/>
        <w:ind w:firstLine="480"/>
        <w:rPr>
          <w:rFonts w:eastAsia="Times New Roman"/>
          <w:kern w:val="0"/>
          <w:sz w:val="24"/>
          <w:szCs w:val="24"/>
        </w:rPr>
      </w:pPr>
      <w:r>
        <w:rPr>
          <w:rFonts w:ascii="宋体" w:hAnsi="宋体" w:cs="宋体"/>
          <w:kern w:val="0"/>
          <w:sz w:val="24"/>
          <w:szCs w:val="24"/>
        </w:rPr>
        <w:t>（7）监督基金管理人的投资运作；</w:t>
      </w:r>
    </w:p>
    <w:p>
      <w:pPr>
        <w:pStyle w:val="65"/>
        <w:spacing w:line="360" w:lineRule="auto"/>
        <w:ind w:firstLine="480"/>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pPr>
        <w:pStyle w:val="65"/>
        <w:spacing w:line="360" w:lineRule="auto"/>
        <w:ind w:firstLine="480"/>
        <w:rPr>
          <w:rFonts w:eastAsia="Times New Roman"/>
          <w:kern w:val="0"/>
          <w:sz w:val="24"/>
          <w:szCs w:val="24"/>
        </w:rPr>
      </w:pPr>
      <w:r>
        <w:rPr>
          <w:rFonts w:ascii="宋体" w:hAnsi="宋体" w:cs="宋体"/>
          <w:kern w:val="0"/>
          <w:sz w:val="24"/>
          <w:szCs w:val="24"/>
        </w:rPr>
        <w:t>（9）法律法规及中国证监会规定的和《基金合同》约定的其他权利。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（1）</w:t>
      </w:r>
      <w:r>
        <w:rPr>
          <w:rFonts w:ascii="宋体" w:hAnsi="宋体" w:cs="宋体"/>
          <w:kern w:val="0"/>
          <w:sz w:val="24"/>
          <w:szCs w:val="24"/>
        </w:rPr>
        <w:t>认真阅读并遵守《基金合同》、《招募说明书》等信息披露文件；</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（3）</w:t>
      </w:r>
      <w:r>
        <w:rPr>
          <w:rFonts w:ascii="宋体" w:hAnsi="宋体" w:cs="宋体"/>
          <w:kern w:val="0"/>
          <w:sz w:val="24"/>
          <w:szCs w:val="24"/>
        </w:rPr>
        <w:t>关注基金信息披露，及时行使权利和履行义务；</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（4）交纳基金认购款项或认购股票、申购对价、现金差额及法律法规和《基金合同》所规定的费用；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（7）</w:t>
      </w:r>
      <w:r>
        <w:rPr>
          <w:rFonts w:ascii="宋体" w:hAnsi="宋体" w:cs="宋体"/>
          <w:kern w:val="0"/>
          <w:sz w:val="24"/>
          <w:szCs w:val="24"/>
        </w:rPr>
        <w:t>执行生效的基金份额持有人大会的决议；</w:t>
      </w:r>
    </w:p>
    <w:p>
      <w:pPr>
        <w:pStyle w:val="65"/>
        <w:spacing w:line="360" w:lineRule="auto"/>
        <w:ind w:firstLine="480"/>
        <w:jc w:val="left"/>
        <w:rPr>
          <w:rFonts w:eastAsia="Times New Roman"/>
          <w:kern w:val="0"/>
          <w:sz w:val="24"/>
          <w:szCs w:val="24"/>
        </w:rPr>
      </w:pPr>
      <w:r>
        <w:rPr>
          <w:rStyle w:val="66"/>
          <w:rFonts w:ascii="宋体" w:hAnsi="宋体" w:cs="宋体"/>
          <w:kern w:val="0"/>
          <w:sz w:val="24"/>
          <w:szCs w:val="24"/>
        </w:rPr>
        <w:t>（8）</w:t>
      </w:r>
      <w:r>
        <w:rPr>
          <w:rFonts w:ascii="宋体" w:hAnsi="宋体" w:cs="宋体"/>
          <w:kern w:val="0"/>
          <w:sz w:val="24"/>
          <w:szCs w:val="24"/>
        </w:rPr>
        <w:t>返还在基金交易过程中因任何原因获得的不当得利；</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（10）遵守基金管理人、基金托管人、销售机构和登记机构的相关交易及业务规则；</w:t>
      </w:r>
    </w:p>
    <w:p>
      <w:pPr>
        <w:spacing w:line="360" w:lineRule="auto"/>
        <w:ind w:firstLine="420"/>
        <w:rPr>
          <w:rFonts w:ascii="宋体" w:hAnsi="宋体" w:cs="宋体"/>
          <w:sz w:val="24"/>
          <w:szCs w:val="24"/>
        </w:rPr>
      </w:pPr>
      <w:r>
        <w:rPr>
          <w:rStyle w:val="66"/>
          <w:rFonts w:ascii="宋体" w:hAnsi="宋体" w:cs="宋体"/>
          <w:kern w:val="0"/>
          <w:sz w:val="24"/>
          <w:szCs w:val="24"/>
        </w:rPr>
        <w:t>（1</w:t>
      </w:r>
      <w:r>
        <w:rPr>
          <w:rStyle w:val="66"/>
          <w:rFonts w:hint="eastAsia" w:ascii="宋体" w:hAnsi="宋体" w:cs="宋体"/>
          <w:kern w:val="0"/>
          <w:sz w:val="24"/>
          <w:szCs w:val="24"/>
        </w:rPr>
        <w:t>1</w:t>
      </w:r>
      <w:r>
        <w:rPr>
          <w:rStyle w:val="66"/>
          <w:rFonts w:ascii="宋体" w:hAnsi="宋体" w:cs="宋体"/>
          <w:kern w:val="0"/>
          <w:sz w:val="24"/>
          <w:szCs w:val="24"/>
        </w:rPr>
        <w:t>）</w:t>
      </w:r>
      <w:r>
        <w:rPr>
          <w:rFonts w:ascii="宋体" w:hAnsi="宋体" w:cs="宋体"/>
          <w:kern w:val="0"/>
          <w:sz w:val="24"/>
          <w:szCs w:val="24"/>
        </w:rPr>
        <w:t>法律法规及中国证监会规定的和《基金合同》约定的其他义务。</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二、基金份额持有人大会</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pPr>
        <w:pStyle w:val="65"/>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pPr>
        <w:pStyle w:val="65"/>
        <w:spacing w:line="360" w:lineRule="auto"/>
        <w:ind w:firstLine="480"/>
        <w:rPr>
          <w:rFonts w:eastAsia="Times New Roman"/>
          <w:kern w:val="0"/>
          <w:sz w:val="24"/>
          <w:szCs w:val="24"/>
        </w:rPr>
      </w:pPr>
      <w:r>
        <w:rPr>
          <w:rFonts w:ascii="宋体" w:hAnsi="宋体" w:cs="宋体"/>
          <w:kern w:val="0"/>
          <w:sz w:val="24"/>
          <w:szCs w:val="24"/>
        </w:rPr>
        <w:t>在本基金成功募集并运作之后，如基金管理人管理本基金的联接基金的：</w:t>
      </w:r>
    </w:p>
    <w:p>
      <w:pPr>
        <w:pStyle w:val="65"/>
        <w:spacing w:line="360" w:lineRule="auto"/>
        <w:ind w:firstLine="480"/>
        <w:rPr>
          <w:rFonts w:eastAsia="Times New Roman"/>
          <w:kern w:val="0"/>
          <w:sz w:val="24"/>
          <w:szCs w:val="24"/>
        </w:rPr>
      </w:pPr>
      <w:r>
        <w:rPr>
          <w:rFonts w:ascii="宋体" w:hAnsi="宋体" w:cs="宋体"/>
          <w:kern w:val="0"/>
          <w:sz w:val="24"/>
          <w:szCs w:val="24"/>
        </w:rPr>
        <w:t>鉴于本基金和本基金联接基金的相关性，本基金联接基金的基金份额持有人可以凭所持有的本基金联接基金的基金份额参加或者委派代表参加本基金的基金份额持有人大会并参与表决。在计算参会份额和计票时，本基金联接基金基金份额持有人持有的享有表决权的基金份额数和表决票数为：在本基金基金份额持有人大会的权益登记日，本基金联接基金持有本基金份额的总数乘以该基金份额持有人所持有的本基金联接基金份额占本基金联接基金总份额的比例。计算结果按照四舍五入的方法，保留到整数位。</w:t>
      </w:r>
    </w:p>
    <w:p>
      <w:pPr>
        <w:pStyle w:val="65"/>
        <w:spacing w:line="360" w:lineRule="auto"/>
        <w:ind w:firstLine="480"/>
        <w:rPr>
          <w:rFonts w:eastAsia="Times New Roman"/>
          <w:kern w:val="0"/>
          <w:sz w:val="24"/>
          <w:szCs w:val="24"/>
        </w:rPr>
      </w:pPr>
      <w:r>
        <w:rPr>
          <w:rFonts w:ascii="宋体" w:hAnsi="宋体" w:cs="宋体"/>
          <w:kern w:val="0"/>
          <w:sz w:val="24"/>
          <w:szCs w:val="24"/>
        </w:rPr>
        <w:t>本基金联接基金的基金管理人不应以本基金联接基金的名义代表本基金联接基金的全体基金份额持有人以本基金的基金份额持有人的身份行使表决权，但可接受本基金联接基金的基金份额持有人的委托以本基金联接基金的基金份额持有人代理人的身份参加本基金的基金份额持有人大会并参与表决。</w:t>
      </w:r>
    </w:p>
    <w:p>
      <w:pPr>
        <w:pStyle w:val="65"/>
        <w:spacing w:line="360" w:lineRule="auto"/>
        <w:ind w:firstLine="480"/>
        <w:rPr>
          <w:rFonts w:eastAsia="Times New Roman"/>
          <w:kern w:val="0"/>
          <w:sz w:val="24"/>
          <w:szCs w:val="24"/>
        </w:rPr>
      </w:pPr>
      <w:r>
        <w:rPr>
          <w:rFonts w:ascii="宋体" w:hAnsi="宋体" w:cs="宋体"/>
          <w:kern w:val="0"/>
          <w:sz w:val="24"/>
          <w:szCs w:val="24"/>
        </w:rPr>
        <w:t>本基金联接基金的基金管理人代表本基金联接基金的基金份额持有人提议召开或召集本基金份额持有人大会的，须先遵照本基金联接基金基金合同的约定召开本基金联接基金的基金份额持有人大会；本基金联接基金的基金份额持有人大会决定提议召开或召集本基金份额持有人大会的，由本基金联接基金的基金管理人代表本基金联接基金的基金份额持有人提议召开或召集本基金份额持有人大会。</w:t>
      </w:r>
    </w:p>
    <w:p>
      <w:pPr>
        <w:spacing w:line="360" w:lineRule="auto"/>
        <w:ind w:firstLine="420"/>
        <w:rPr>
          <w:rFonts w:eastAsia="Times New Roman"/>
          <w:sz w:val="24"/>
          <w:szCs w:val="24"/>
        </w:rPr>
      </w:pPr>
      <w:r>
        <w:rPr>
          <w:rFonts w:ascii="宋体" w:hAnsi="宋体" w:cs="宋体"/>
          <w:sz w:val="24"/>
          <w:szCs w:val="24"/>
        </w:rPr>
        <w:t>（一）召开事由</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1、当出现或需要决定下列事由之一的，应当召开基金份额持有人大会，法律法规、中国证监会另有规定或基金合同另有约定的除外：</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（1）终止《基金合同》；</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（2）更换基金管理人；</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（3）更换基金托管人；</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（4）转换基金运作方式；</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（5）调整基金管理人、基金托管人的报酬标准；</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（6）变更基金类别；</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（7）本基金与其他基金的合并；</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（8）变更基金投资目标、范围或策略；</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（9）变更基金份额持有人大会程序；</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（10）基金管理人或基金托管人要求召开基金份额持有人大会；</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（12）对基金合同当事人权利和义务产生重大影响的其他事项；</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（13）终止基金上市，但因基金不再具备上市条件而被深圳证券交易所终止上市的除外；</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（14）法律法规、《基金合同》或中国证监会规定的其他应当召开基金份额持有人大会的事项。</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（1）法律法规要求增加的基金费用的收取；</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（2）调整本基金的申购费率或变更收费方式；</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（3）因相应的法律法规、证券交易所或登记机构相关业务规则发生变动而应当对《基金合同》进行修改；</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（4）基金管理人、证券交易所和基金登记机构等调整有关基金认购、申购、赎回、非交易过户、质押等业务规则；</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（5）对《基金合同》的修改对基金份额持有人利益无实质性不利影响或修改不涉及《基金合同》当事人权利义务关系发生重大变化；</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（6）履行适当程序后基金推出新业务或服务；</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）增加、减少、调整基金份额类别设置；</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8</w:t>
      </w:r>
      <w:r>
        <w:rPr>
          <w:rFonts w:hint="eastAsia" w:ascii="宋体" w:hAnsi="宋体" w:cs="宋体"/>
          <w:kern w:val="0"/>
          <w:sz w:val="24"/>
          <w:szCs w:val="24"/>
        </w:rPr>
        <w:t>）调整最小申购赎回单位、调整基金的申购赎回方式及申购对价、赎回对价组成；</w:t>
      </w:r>
    </w:p>
    <w:p>
      <w:pPr>
        <w:pStyle w:val="65"/>
        <w:spacing w:line="360" w:lineRule="auto"/>
        <w:ind w:firstLine="48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9</w:t>
      </w:r>
      <w:r>
        <w:rPr>
          <w:rFonts w:hint="eastAsia" w:ascii="宋体" w:hAnsi="宋体" w:cs="宋体"/>
          <w:kern w:val="0"/>
          <w:sz w:val="24"/>
          <w:szCs w:val="24"/>
        </w:rPr>
        <w:t>）在其他证券交易所上市或开通基金的场外申购赎回、跨系统转托管等业务；</w:t>
      </w:r>
    </w:p>
    <w:p>
      <w:pPr>
        <w:pStyle w:val="65"/>
        <w:spacing w:line="360" w:lineRule="auto"/>
        <w:ind w:firstLine="480"/>
        <w:rPr>
          <w:rFonts w:eastAsia="Times New Roman"/>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10</w:t>
      </w:r>
      <w:r>
        <w:rPr>
          <w:rFonts w:hint="eastAsia" w:ascii="宋体" w:hAnsi="宋体" w:cs="宋体"/>
          <w:kern w:val="0"/>
          <w:sz w:val="24"/>
          <w:szCs w:val="24"/>
        </w:rPr>
        <w:t>）按照法律法规和《基金合同》规定不需召开基金份额持有人大会的其他情形。</w:t>
      </w:r>
    </w:p>
    <w:p>
      <w:pPr>
        <w:spacing w:line="360" w:lineRule="auto"/>
        <w:ind w:firstLine="420"/>
        <w:rPr>
          <w:rFonts w:eastAsia="Times New Roman"/>
          <w:sz w:val="24"/>
          <w:szCs w:val="24"/>
        </w:rPr>
      </w:pPr>
      <w:r>
        <w:rPr>
          <w:rFonts w:ascii="宋体" w:hAnsi="宋体" w:cs="宋体"/>
          <w:sz w:val="24"/>
          <w:szCs w:val="24"/>
        </w:rPr>
        <w:t>（二）会议召集人及召集方式</w:t>
      </w:r>
    </w:p>
    <w:p>
      <w:pPr>
        <w:pStyle w:val="65"/>
        <w:spacing w:line="360" w:lineRule="auto"/>
        <w:ind w:firstLine="480"/>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pPr>
        <w:pStyle w:val="65"/>
        <w:spacing w:line="360" w:lineRule="auto"/>
        <w:ind w:firstLine="480"/>
        <w:rPr>
          <w:rFonts w:eastAsia="Times New Roman"/>
          <w:kern w:val="0"/>
          <w:sz w:val="24"/>
          <w:szCs w:val="24"/>
        </w:rPr>
      </w:pPr>
      <w:r>
        <w:rPr>
          <w:rFonts w:ascii="宋体" w:hAnsi="宋体" w:cs="宋体"/>
          <w:kern w:val="0"/>
          <w:sz w:val="24"/>
          <w:szCs w:val="24"/>
        </w:rPr>
        <w:t>2、基金管理人未按规定召集或不能召集时，由基金托管人召集。</w:t>
      </w:r>
    </w:p>
    <w:p>
      <w:pPr>
        <w:pStyle w:val="65"/>
        <w:spacing w:line="360" w:lineRule="auto"/>
        <w:ind w:firstLine="480"/>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pStyle w:val="65"/>
        <w:spacing w:line="360" w:lineRule="auto"/>
        <w:ind w:firstLine="480"/>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pStyle w:val="65"/>
        <w:spacing w:line="360" w:lineRule="auto"/>
        <w:ind w:firstLine="480"/>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pStyle w:val="65"/>
        <w:spacing w:line="360" w:lineRule="auto"/>
        <w:ind w:firstLine="480"/>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pPr>
        <w:spacing w:line="360" w:lineRule="auto"/>
        <w:ind w:firstLine="420"/>
        <w:rPr>
          <w:rFonts w:eastAsia="Times New Roman"/>
          <w:sz w:val="24"/>
          <w:szCs w:val="24"/>
        </w:rPr>
      </w:pPr>
      <w:r>
        <w:rPr>
          <w:rFonts w:ascii="宋体" w:hAnsi="宋体" w:cs="宋体"/>
          <w:sz w:val="24"/>
          <w:szCs w:val="24"/>
        </w:rPr>
        <w:t>（三）召开基金份额持有人大会的通知时间、通知内容、通知方式</w:t>
      </w:r>
    </w:p>
    <w:p>
      <w:pPr>
        <w:pStyle w:val="65"/>
        <w:spacing w:line="360" w:lineRule="auto"/>
        <w:ind w:firstLine="480"/>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pPr>
        <w:pStyle w:val="65"/>
        <w:spacing w:line="360" w:lineRule="auto"/>
        <w:ind w:firstLine="480"/>
        <w:rPr>
          <w:rFonts w:eastAsia="Times New Roman"/>
          <w:kern w:val="0"/>
          <w:sz w:val="24"/>
          <w:szCs w:val="24"/>
        </w:rPr>
      </w:pPr>
      <w:r>
        <w:rPr>
          <w:rFonts w:ascii="宋体" w:hAnsi="宋体" w:cs="宋体"/>
          <w:kern w:val="0"/>
          <w:sz w:val="24"/>
          <w:szCs w:val="24"/>
        </w:rPr>
        <w:t>（1）会议召开的时间、地点和会议形式；</w:t>
      </w:r>
    </w:p>
    <w:p>
      <w:pPr>
        <w:pStyle w:val="65"/>
        <w:spacing w:line="360" w:lineRule="auto"/>
        <w:ind w:firstLine="480"/>
        <w:rPr>
          <w:rFonts w:eastAsia="Times New Roman"/>
          <w:kern w:val="0"/>
          <w:sz w:val="24"/>
          <w:szCs w:val="24"/>
        </w:rPr>
      </w:pPr>
      <w:r>
        <w:rPr>
          <w:rFonts w:ascii="宋体" w:hAnsi="宋体" w:cs="宋体"/>
          <w:kern w:val="0"/>
          <w:sz w:val="24"/>
          <w:szCs w:val="24"/>
        </w:rPr>
        <w:t>（2）会议拟审议的事项、议事程序和表决方式；</w:t>
      </w:r>
    </w:p>
    <w:p>
      <w:pPr>
        <w:pStyle w:val="65"/>
        <w:spacing w:line="360" w:lineRule="auto"/>
        <w:ind w:firstLine="480"/>
        <w:rPr>
          <w:rFonts w:eastAsia="Times New Roman"/>
          <w:kern w:val="0"/>
          <w:sz w:val="24"/>
          <w:szCs w:val="24"/>
        </w:rPr>
      </w:pPr>
      <w:r>
        <w:rPr>
          <w:rFonts w:ascii="宋体" w:hAnsi="宋体" w:cs="宋体"/>
          <w:kern w:val="0"/>
          <w:sz w:val="24"/>
          <w:szCs w:val="24"/>
        </w:rPr>
        <w:t>（3）有权出席基金份额持有人大会的基金份额持有人的权益登记日；</w:t>
      </w:r>
    </w:p>
    <w:p>
      <w:pPr>
        <w:pStyle w:val="65"/>
        <w:spacing w:line="360" w:lineRule="auto"/>
        <w:ind w:firstLine="480"/>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pPr>
        <w:pStyle w:val="65"/>
        <w:spacing w:line="360" w:lineRule="auto"/>
        <w:ind w:firstLine="480"/>
        <w:rPr>
          <w:rFonts w:eastAsia="Times New Roman"/>
          <w:kern w:val="0"/>
          <w:sz w:val="24"/>
          <w:szCs w:val="24"/>
        </w:rPr>
      </w:pPr>
      <w:r>
        <w:rPr>
          <w:rFonts w:ascii="宋体" w:hAnsi="宋体" w:cs="宋体"/>
          <w:kern w:val="0"/>
          <w:sz w:val="24"/>
          <w:szCs w:val="24"/>
        </w:rPr>
        <w:t>（5）会务常设联系人姓名及联系电话；</w:t>
      </w:r>
    </w:p>
    <w:p>
      <w:pPr>
        <w:pStyle w:val="65"/>
        <w:spacing w:line="360" w:lineRule="auto"/>
        <w:ind w:firstLine="480"/>
        <w:rPr>
          <w:rFonts w:eastAsia="Times New Roman"/>
          <w:kern w:val="0"/>
          <w:sz w:val="24"/>
          <w:szCs w:val="24"/>
        </w:rPr>
      </w:pPr>
      <w:r>
        <w:rPr>
          <w:rFonts w:ascii="宋体" w:hAnsi="宋体" w:cs="宋体"/>
          <w:kern w:val="0"/>
          <w:sz w:val="24"/>
          <w:szCs w:val="24"/>
        </w:rPr>
        <w:t>（6）出席会议者必须准备的文件和必须履行的手续；</w:t>
      </w:r>
    </w:p>
    <w:p>
      <w:pPr>
        <w:pStyle w:val="65"/>
        <w:spacing w:line="360" w:lineRule="auto"/>
        <w:ind w:firstLine="480"/>
        <w:rPr>
          <w:rFonts w:eastAsia="Times New Roman"/>
          <w:kern w:val="0"/>
          <w:sz w:val="24"/>
          <w:szCs w:val="24"/>
        </w:rPr>
      </w:pPr>
      <w:r>
        <w:rPr>
          <w:rFonts w:ascii="宋体" w:hAnsi="宋体" w:cs="宋体"/>
          <w:kern w:val="0"/>
          <w:sz w:val="24"/>
          <w:szCs w:val="24"/>
        </w:rPr>
        <w:t>（7）召集人需要通知的其他事项。</w:t>
      </w:r>
    </w:p>
    <w:p>
      <w:pPr>
        <w:pStyle w:val="65"/>
        <w:spacing w:line="360" w:lineRule="auto"/>
        <w:ind w:firstLine="480"/>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pPr>
        <w:pStyle w:val="65"/>
        <w:spacing w:line="360" w:lineRule="auto"/>
        <w:ind w:firstLine="480"/>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20"/>
        <w:rPr>
          <w:rFonts w:eastAsia="Times New Roman"/>
          <w:sz w:val="24"/>
          <w:szCs w:val="24"/>
        </w:rPr>
      </w:pPr>
      <w:r>
        <w:rPr>
          <w:rFonts w:ascii="宋体" w:hAnsi="宋体" w:cs="宋体"/>
          <w:sz w:val="24"/>
          <w:szCs w:val="24"/>
        </w:rPr>
        <w:t>（四）基金份额持有人出席会议的方式</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pPr>
        <w:pStyle w:val="65"/>
        <w:spacing w:line="360" w:lineRule="auto"/>
        <w:ind w:firstLine="480"/>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pStyle w:val="65"/>
        <w:spacing w:line="360" w:lineRule="auto"/>
        <w:ind w:firstLine="480"/>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pStyle w:val="65"/>
        <w:spacing w:line="360" w:lineRule="auto"/>
        <w:ind w:firstLine="480"/>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pStyle w:val="65"/>
        <w:spacing w:line="360" w:lineRule="auto"/>
        <w:ind w:firstLine="480"/>
        <w:rPr>
          <w:rFonts w:eastAsia="Times New Roman"/>
          <w:kern w:val="0"/>
          <w:sz w:val="24"/>
          <w:szCs w:val="24"/>
        </w:rPr>
      </w:pPr>
      <w:r>
        <w:rPr>
          <w:rFonts w:ascii="宋体" w:hAnsi="宋体" w:cs="宋体"/>
          <w:kern w:val="0"/>
          <w:sz w:val="24"/>
          <w:szCs w:val="24"/>
        </w:rPr>
        <w:t>2、通讯开会。通讯开会系指基金份额持有人将其对表决事项的投票以书面形式或大会公告载明的其他方式在表决截止日以前送达至召集人指定的地址或系统。通讯开会应以书面方式或大会公告载明的其他方式进行表决。</w:t>
      </w:r>
    </w:p>
    <w:p>
      <w:pPr>
        <w:pStyle w:val="65"/>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pPr>
        <w:pStyle w:val="65"/>
        <w:spacing w:line="360" w:lineRule="auto"/>
        <w:ind w:firstLine="480"/>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pPr>
        <w:pStyle w:val="65"/>
        <w:spacing w:line="360" w:lineRule="auto"/>
        <w:ind w:firstLine="480"/>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pPr>
        <w:pStyle w:val="65"/>
        <w:spacing w:line="360" w:lineRule="auto"/>
        <w:ind w:firstLine="480"/>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pPr>
        <w:pStyle w:val="65"/>
        <w:spacing w:line="360" w:lineRule="auto"/>
        <w:ind w:firstLine="480"/>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pPr>
        <w:pStyle w:val="65"/>
        <w:spacing w:line="360" w:lineRule="auto"/>
        <w:ind w:firstLine="480"/>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pPr>
        <w:spacing w:line="360" w:lineRule="auto"/>
        <w:ind w:firstLine="420"/>
        <w:rPr>
          <w:rFonts w:eastAsia="Times New Roman"/>
          <w:sz w:val="24"/>
          <w:szCs w:val="24"/>
        </w:rPr>
      </w:pPr>
      <w:r>
        <w:rPr>
          <w:rFonts w:ascii="宋体" w:hAnsi="宋体" w:cs="宋体"/>
          <w:sz w:val="24"/>
          <w:szCs w:val="24"/>
        </w:rPr>
        <w:t>（五）议事内容与程序</w:t>
      </w:r>
    </w:p>
    <w:p>
      <w:pPr>
        <w:pStyle w:val="65"/>
        <w:spacing w:line="360" w:lineRule="auto"/>
        <w:ind w:firstLine="480"/>
        <w:rPr>
          <w:rFonts w:eastAsia="Times New Roman"/>
          <w:kern w:val="0"/>
          <w:sz w:val="24"/>
          <w:szCs w:val="24"/>
        </w:rPr>
      </w:pPr>
      <w:r>
        <w:rPr>
          <w:rFonts w:ascii="宋体" w:hAnsi="宋体" w:cs="宋体"/>
          <w:kern w:val="0"/>
          <w:sz w:val="24"/>
          <w:szCs w:val="24"/>
        </w:rPr>
        <w:t>1、议事内容及提案权</w:t>
      </w:r>
    </w:p>
    <w:p>
      <w:pPr>
        <w:pStyle w:val="65"/>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pPr>
        <w:pStyle w:val="65"/>
        <w:spacing w:line="360" w:lineRule="auto"/>
        <w:ind w:firstLine="480"/>
        <w:rPr>
          <w:rFonts w:eastAsia="Times New Roman"/>
          <w:kern w:val="0"/>
          <w:sz w:val="24"/>
          <w:szCs w:val="24"/>
        </w:rPr>
      </w:pPr>
      <w:r>
        <w:rPr>
          <w:rFonts w:ascii="宋体" w:hAnsi="宋体" w:cs="宋体"/>
          <w:kern w:val="0"/>
          <w:sz w:val="24"/>
          <w:szCs w:val="24"/>
        </w:rPr>
        <w:t>2、议事程序</w:t>
      </w:r>
    </w:p>
    <w:p>
      <w:pPr>
        <w:pStyle w:val="65"/>
        <w:spacing w:line="360" w:lineRule="auto"/>
        <w:ind w:firstLine="480"/>
        <w:rPr>
          <w:rFonts w:eastAsia="Times New Roman"/>
          <w:kern w:val="0"/>
          <w:sz w:val="24"/>
          <w:szCs w:val="24"/>
        </w:rPr>
      </w:pPr>
      <w:r>
        <w:rPr>
          <w:rFonts w:ascii="宋体" w:hAnsi="宋体" w:cs="宋体"/>
          <w:kern w:val="0"/>
          <w:sz w:val="24"/>
          <w:szCs w:val="24"/>
        </w:rPr>
        <w:t>（1）现场开会</w:t>
      </w:r>
    </w:p>
    <w:p>
      <w:pPr>
        <w:pStyle w:val="65"/>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Pr>
          <w:rFonts w:hint="eastAsia" w:ascii="宋体" w:hAnsi="宋体" w:cs="宋体"/>
          <w:kern w:val="0"/>
          <w:sz w:val="24"/>
          <w:szCs w:val="24"/>
          <w:lang w:eastAsia="zh-CN"/>
        </w:rPr>
        <w:t>（</w:t>
      </w:r>
      <w:r>
        <w:rPr>
          <w:rFonts w:ascii="宋体" w:hAnsi="宋体" w:cs="宋体"/>
          <w:kern w:val="0"/>
          <w:sz w:val="24"/>
          <w:szCs w:val="24"/>
        </w:rPr>
        <w:t>七</w:t>
      </w:r>
      <w:r>
        <w:rPr>
          <w:rFonts w:hint="eastAsia" w:ascii="宋体" w:hAnsi="宋体" w:cs="宋体"/>
          <w:kern w:val="0"/>
          <w:sz w:val="24"/>
          <w:szCs w:val="24"/>
          <w:lang w:eastAsia="zh-CN"/>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pStyle w:val="65"/>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会议召集人应当制作出席会议人员的签名册。签名册载明参加会议人员姓名（或单位名称）、身份证明文件号码、持有或代表有表决权的基金份额、委托人姓名（或单位名称）和联系方式等事项。</w:t>
      </w:r>
    </w:p>
    <w:p>
      <w:pPr>
        <w:pStyle w:val="65"/>
        <w:spacing w:line="360" w:lineRule="auto"/>
        <w:ind w:firstLine="480"/>
        <w:rPr>
          <w:rFonts w:eastAsia="Times New Roman"/>
          <w:kern w:val="0"/>
          <w:sz w:val="24"/>
          <w:szCs w:val="24"/>
        </w:rPr>
      </w:pPr>
      <w:r>
        <w:rPr>
          <w:rFonts w:ascii="宋体" w:hAnsi="宋体" w:cs="宋体"/>
          <w:kern w:val="0"/>
          <w:sz w:val="24"/>
          <w:szCs w:val="24"/>
        </w:rPr>
        <w:t>（2）通讯开会</w:t>
      </w:r>
    </w:p>
    <w:p>
      <w:pPr>
        <w:pStyle w:val="65"/>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20"/>
        <w:rPr>
          <w:rFonts w:eastAsia="Times New Roman"/>
          <w:sz w:val="24"/>
          <w:szCs w:val="24"/>
        </w:rPr>
      </w:pPr>
      <w:r>
        <w:rPr>
          <w:rFonts w:ascii="宋体" w:hAnsi="宋体" w:cs="宋体"/>
          <w:sz w:val="24"/>
          <w:szCs w:val="24"/>
        </w:rPr>
        <w:t>（六）表决</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pPr>
        <w:pStyle w:val="65"/>
        <w:spacing w:line="360" w:lineRule="auto"/>
        <w:ind w:firstLine="480"/>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pStyle w:val="65"/>
        <w:spacing w:line="360" w:lineRule="auto"/>
        <w:ind w:firstLine="480"/>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pPr>
        <w:pStyle w:val="65"/>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pPr>
        <w:spacing w:line="360" w:lineRule="auto"/>
        <w:ind w:firstLine="420"/>
        <w:rPr>
          <w:rFonts w:eastAsia="Times New Roman"/>
          <w:sz w:val="24"/>
          <w:szCs w:val="24"/>
        </w:rPr>
      </w:pPr>
      <w:r>
        <w:rPr>
          <w:rFonts w:ascii="宋体" w:hAnsi="宋体" w:cs="宋体"/>
          <w:sz w:val="24"/>
          <w:szCs w:val="24"/>
        </w:rPr>
        <w:t>（七）计票</w:t>
      </w:r>
    </w:p>
    <w:p>
      <w:pPr>
        <w:pStyle w:val="65"/>
        <w:spacing w:line="360" w:lineRule="auto"/>
        <w:ind w:firstLine="480"/>
        <w:rPr>
          <w:rFonts w:eastAsia="Times New Roman"/>
          <w:kern w:val="0"/>
          <w:sz w:val="24"/>
          <w:szCs w:val="24"/>
        </w:rPr>
      </w:pPr>
      <w:r>
        <w:rPr>
          <w:rFonts w:ascii="宋体" w:hAnsi="宋体" w:cs="宋体"/>
          <w:kern w:val="0"/>
          <w:sz w:val="24"/>
          <w:szCs w:val="24"/>
        </w:rPr>
        <w:t>1、现场开会</w:t>
      </w:r>
    </w:p>
    <w:p>
      <w:pPr>
        <w:pStyle w:val="65"/>
        <w:spacing w:line="360" w:lineRule="auto"/>
        <w:ind w:firstLine="480"/>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pPr>
        <w:pStyle w:val="65"/>
        <w:spacing w:line="360" w:lineRule="auto"/>
        <w:ind w:firstLine="480"/>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pPr>
        <w:pStyle w:val="65"/>
        <w:spacing w:line="360" w:lineRule="auto"/>
        <w:ind w:firstLine="480"/>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pStyle w:val="65"/>
        <w:spacing w:line="360" w:lineRule="auto"/>
        <w:ind w:firstLine="480"/>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pPr>
        <w:pStyle w:val="65"/>
        <w:spacing w:line="360" w:lineRule="auto"/>
        <w:ind w:firstLine="480"/>
        <w:rPr>
          <w:rFonts w:eastAsia="Times New Roman"/>
          <w:kern w:val="0"/>
          <w:sz w:val="24"/>
          <w:szCs w:val="24"/>
        </w:rPr>
      </w:pPr>
      <w:r>
        <w:rPr>
          <w:rFonts w:ascii="宋体" w:hAnsi="宋体" w:cs="宋体"/>
          <w:kern w:val="0"/>
          <w:sz w:val="24"/>
          <w:szCs w:val="24"/>
        </w:rPr>
        <w:t>2、通讯开会</w:t>
      </w:r>
    </w:p>
    <w:p>
      <w:pPr>
        <w:pStyle w:val="65"/>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pPr>
        <w:spacing w:line="360" w:lineRule="auto"/>
        <w:ind w:firstLine="420"/>
        <w:rPr>
          <w:rFonts w:eastAsia="Times New Roman"/>
          <w:sz w:val="24"/>
          <w:szCs w:val="24"/>
        </w:rPr>
      </w:pPr>
      <w:r>
        <w:rPr>
          <w:rFonts w:ascii="宋体" w:hAnsi="宋体" w:cs="宋体"/>
          <w:sz w:val="24"/>
          <w:szCs w:val="24"/>
        </w:rPr>
        <w:t>（八）生效与公告</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pPr>
        <w:pStyle w:val="65"/>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pPr>
        <w:pStyle w:val="65"/>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20"/>
        <w:rPr>
          <w:rFonts w:eastAsia="Times New Roman"/>
          <w:sz w:val="24"/>
          <w:szCs w:val="24"/>
        </w:rPr>
      </w:pPr>
      <w:r>
        <w:rPr>
          <w:rFonts w:ascii="宋体" w:hAnsi="宋体" w:cs="宋体"/>
          <w:sz w:val="24"/>
          <w:szCs w:val="24"/>
        </w:rPr>
        <w:t>（九）</w:t>
      </w:r>
      <w:r>
        <w:rPr>
          <w:rFonts w:ascii="宋体" w:hAnsi="宋体" w:cs="宋体"/>
          <w:kern w:val="0"/>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hint="eastAsia" w:ascii="宋体" w:hAnsi="宋体" w:cs="宋体"/>
          <w:kern w:val="0"/>
          <w:sz w:val="24"/>
          <w:szCs w:val="24"/>
        </w:rPr>
        <w:t>并提前公告后</w:t>
      </w:r>
      <w:r>
        <w:rPr>
          <w:rFonts w:ascii="宋体" w:hAnsi="宋体" w:cs="宋体"/>
          <w:kern w:val="0"/>
          <w:sz w:val="24"/>
          <w:szCs w:val="24"/>
        </w:rPr>
        <w:t>，可直接对本部分内容进行修改和调整，无需召开基金份额持有人大会审议。</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三、基金收益分配原则、执行方式</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（一）</w:t>
      </w:r>
      <w:r>
        <w:rPr>
          <w:rFonts w:ascii="宋体" w:hAnsi="宋体" w:cs="宋体"/>
          <w:kern w:val="0"/>
          <w:sz w:val="24"/>
          <w:szCs w:val="24"/>
        </w:rPr>
        <w:t>基金利润的构成</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（二）</w:t>
      </w:r>
      <w:r>
        <w:rPr>
          <w:rFonts w:ascii="宋体" w:hAnsi="宋体" w:cs="宋体"/>
          <w:kern w:val="0"/>
          <w:sz w:val="24"/>
          <w:szCs w:val="24"/>
        </w:rPr>
        <w:t>基金可供分配利润</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（三）</w:t>
      </w:r>
      <w:r>
        <w:rPr>
          <w:rFonts w:ascii="宋体" w:hAnsi="宋体" w:cs="宋体"/>
          <w:kern w:val="0"/>
          <w:sz w:val="24"/>
          <w:szCs w:val="24"/>
        </w:rPr>
        <w:t>基金收益分配原则</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1、《基金合同》生效不满3个月可不进行收益分配；</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2、本基金收益分配采用现金分红；</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3、每一基金份额享有同等分配权；</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4、基金管理人可对基金相对标的指数的超额收益率和/或基金的可供分配利润进行评价，当收益评价日核定的超额收益率或者基金可供分配利润金额大于零时，基金管理人可进行收益分配；</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pStyle w:val="65"/>
        <w:widowControl/>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6、法律法规或监管机构另有规定的，从其规定。</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（四）</w:t>
      </w:r>
      <w:r>
        <w:rPr>
          <w:rFonts w:ascii="宋体" w:hAnsi="宋体" w:cs="宋体"/>
          <w:kern w:val="0"/>
          <w:sz w:val="24"/>
          <w:szCs w:val="24"/>
        </w:rPr>
        <w:t>收益分配方案</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基金收益分配方案中应载明截至收益分配基准日的</w:t>
      </w:r>
      <w:r>
        <w:rPr>
          <w:rFonts w:hint="eastAsia" w:ascii="宋体" w:hAnsi="宋体" w:cs="宋体"/>
          <w:kern w:val="0"/>
          <w:sz w:val="24"/>
          <w:szCs w:val="24"/>
        </w:rPr>
        <w:t>可供分配利润（如需）、</w:t>
      </w:r>
      <w:r>
        <w:rPr>
          <w:rFonts w:ascii="宋体" w:hAnsi="宋体" w:cs="宋体"/>
          <w:kern w:val="0"/>
          <w:sz w:val="24"/>
          <w:szCs w:val="24"/>
        </w:rPr>
        <w:t>基金收益分配对象、分配时间、分配数额及比例、分配方式等内容。</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（五）</w:t>
      </w:r>
      <w:r>
        <w:rPr>
          <w:rFonts w:ascii="宋体" w:hAnsi="宋体" w:cs="宋体"/>
          <w:kern w:val="0"/>
          <w:sz w:val="24"/>
          <w:szCs w:val="24"/>
        </w:rPr>
        <w:t>收益分配方案的确定、公告与实施</w:t>
      </w:r>
    </w:p>
    <w:p>
      <w:pPr>
        <w:pStyle w:val="65"/>
        <w:widowControl/>
        <w:spacing w:line="360" w:lineRule="auto"/>
        <w:ind w:firstLine="480"/>
        <w:jc w:val="left"/>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pPr>
        <w:pStyle w:val="65"/>
        <w:widowControl/>
        <w:spacing w:line="360" w:lineRule="auto"/>
        <w:ind w:firstLine="480"/>
        <w:jc w:val="left"/>
        <w:rPr>
          <w:rFonts w:eastAsia="Times New Roman"/>
          <w:kern w:val="0"/>
          <w:sz w:val="24"/>
          <w:szCs w:val="24"/>
        </w:rPr>
      </w:pPr>
      <w:r>
        <w:rPr>
          <w:rFonts w:hint="eastAsia" w:ascii="宋体" w:hAnsi="宋体" w:cs="宋体"/>
          <w:kern w:val="0"/>
          <w:sz w:val="24"/>
          <w:szCs w:val="24"/>
        </w:rPr>
        <w:t>（六）</w:t>
      </w:r>
      <w:r>
        <w:rPr>
          <w:rFonts w:ascii="宋体" w:hAnsi="宋体" w:cs="宋体"/>
          <w:kern w:val="0"/>
          <w:sz w:val="24"/>
          <w:szCs w:val="24"/>
        </w:rPr>
        <w:t>基金收益分配中发生的费用</w:t>
      </w:r>
    </w:p>
    <w:p>
      <w:pPr>
        <w:spacing w:line="360" w:lineRule="auto"/>
        <w:ind w:firstLine="420"/>
        <w:rPr>
          <w:rFonts w:ascii="宋体" w:hAnsi="宋体" w:cs="宋体"/>
          <w:sz w:val="24"/>
          <w:szCs w:val="24"/>
        </w:rPr>
      </w:pPr>
      <w:r>
        <w:rPr>
          <w:rFonts w:ascii="宋体" w:hAnsi="宋体" w:cs="宋体"/>
          <w:kern w:val="0"/>
          <w:sz w:val="24"/>
          <w:szCs w:val="24"/>
        </w:rPr>
        <w:t>基金收益分配时所发生的银行转账或其他手续费用由投资者自行承担。</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四、与基金财产管理、运用有关费用的提取、支付方式与比例</w:t>
      </w:r>
    </w:p>
    <w:p>
      <w:pPr>
        <w:spacing w:line="360" w:lineRule="auto"/>
        <w:ind w:firstLine="420"/>
        <w:rPr>
          <w:rFonts w:eastAsia="Times New Roman"/>
          <w:sz w:val="24"/>
          <w:szCs w:val="24"/>
        </w:rPr>
      </w:pPr>
      <w:r>
        <w:rPr>
          <w:rFonts w:ascii="宋体" w:hAnsi="宋体" w:cs="宋体"/>
          <w:sz w:val="24"/>
          <w:szCs w:val="24"/>
        </w:rPr>
        <w:t>（一）基金费用的种类</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基金管理人的管理费；</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2、基金托管人的托管费；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《基金合同》生效后与基金相关的信息披露费用（但法律法规、中国证监会另有规定的除外）；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《基金合同》生效后与基金相关的会计师费、律师费、仲裁费和诉讼费；</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基金份额持有人大会费用；</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6、基金的证券/期货</w:t>
      </w:r>
      <w:r>
        <w:rPr>
          <w:rStyle w:val="66"/>
          <w:rFonts w:hint="eastAsia" w:ascii="宋体" w:hAnsi="宋体" w:cs="宋体"/>
          <w:kern w:val="0"/>
          <w:sz w:val="24"/>
          <w:szCs w:val="24"/>
        </w:rPr>
        <w:t>/</w:t>
      </w:r>
      <w:r>
        <w:rPr>
          <w:rFonts w:hint="eastAsia" w:ascii="宋体" w:hAnsi="宋体" w:cs="宋体"/>
          <w:color w:val="000000"/>
          <w:kern w:val="0"/>
          <w:sz w:val="24"/>
          <w:szCs w:val="24"/>
        </w:rPr>
        <w:t>期权</w:t>
      </w:r>
      <w:r>
        <w:rPr>
          <w:rStyle w:val="66"/>
          <w:rFonts w:ascii="宋体" w:hAnsi="宋体" w:cs="宋体"/>
          <w:kern w:val="0"/>
          <w:sz w:val="24"/>
          <w:szCs w:val="24"/>
        </w:rPr>
        <w:t>等交易费用；</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7、基金的银行汇划费用；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8、</w:t>
      </w:r>
      <w:r>
        <w:rPr>
          <w:rFonts w:ascii="宋体" w:hAnsi="宋体" w:cs="宋体"/>
          <w:kern w:val="0"/>
          <w:sz w:val="24"/>
          <w:szCs w:val="24"/>
        </w:rPr>
        <w:t>基金的账户开户费用、账户维护费用；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9、</w:t>
      </w:r>
      <w:r>
        <w:rPr>
          <w:rFonts w:ascii="宋体" w:hAnsi="宋体" w:cs="宋体"/>
          <w:kern w:val="0"/>
          <w:sz w:val="24"/>
          <w:szCs w:val="24"/>
        </w:rPr>
        <w:t>基金的上市费；</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10、</w:t>
      </w:r>
      <w:r>
        <w:rPr>
          <w:rFonts w:ascii="宋体" w:hAnsi="宋体" w:cs="宋体"/>
          <w:kern w:val="0"/>
          <w:sz w:val="24"/>
          <w:szCs w:val="24"/>
        </w:rPr>
        <w:t>收益分配中发生的费用、登记结算费用、IOPV计算与发布费用；</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pPr>
        <w:spacing w:line="360" w:lineRule="auto"/>
        <w:ind w:firstLine="420"/>
        <w:rPr>
          <w:rFonts w:eastAsia="Times New Roman"/>
          <w:sz w:val="24"/>
          <w:szCs w:val="24"/>
        </w:rPr>
      </w:pPr>
      <w:r>
        <w:rPr>
          <w:rFonts w:ascii="宋体" w:hAnsi="宋体" w:cs="宋体"/>
          <w:sz w:val="24"/>
          <w:szCs w:val="24"/>
        </w:rPr>
        <w:t>（二）基金费用计提方法、计提标准和支付方式</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1、基金管理人的管理费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本基金的管理费按前一日基金资产净值的</w:t>
      </w:r>
      <w:r>
        <w:rPr>
          <w:rStyle w:val="67"/>
          <w:rFonts w:ascii="宋体" w:hAnsi="宋体" w:cs="宋体"/>
          <w:kern w:val="0"/>
          <w:sz w:val="24"/>
          <w:szCs w:val="24"/>
        </w:rPr>
        <w:t>0.50</w:t>
      </w:r>
      <w:r>
        <w:rPr>
          <w:rStyle w:val="66"/>
          <w:rFonts w:ascii="宋体" w:hAnsi="宋体" w:cs="宋体"/>
          <w:kern w:val="0"/>
          <w:sz w:val="24"/>
          <w:szCs w:val="24"/>
        </w:rPr>
        <w:t>%年费率计提。管理费的计算方法如下：</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H＝E×0.50%÷当年天数</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H为每日应计提的基金管理费</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E为前一日的基金资产净值</w:t>
      </w:r>
    </w:p>
    <w:p>
      <w:pPr>
        <w:pStyle w:val="65"/>
        <w:spacing w:line="360" w:lineRule="auto"/>
        <w:ind w:firstLine="480"/>
        <w:rPr>
          <w:rStyle w:val="66"/>
          <w:rFonts w:ascii="宋体" w:hAnsi="宋体" w:cs="宋体"/>
          <w:kern w:val="0"/>
          <w:sz w:val="24"/>
          <w:szCs w:val="24"/>
        </w:rPr>
      </w:pPr>
      <w:r>
        <w:rPr>
          <w:rStyle w:val="66"/>
          <w:rFonts w:hint="eastAsia" w:ascii="宋体" w:hAnsi="宋体" w:cs="宋体"/>
          <w:kern w:val="0"/>
          <w:sz w:val="24"/>
          <w:szCs w:val="24"/>
        </w:rPr>
        <w:t>基金管理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pPr>
        <w:pStyle w:val="65"/>
        <w:spacing w:line="360" w:lineRule="auto"/>
        <w:ind w:firstLine="480"/>
        <w:rPr>
          <w:rFonts w:ascii="宋体" w:hAnsi="宋体" w:cs="宋体"/>
          <w:kern w:val="0"/>
          <w:sz w:val="24"/>
          <w:szCs w:val="24"/>
        </w:rPr>
      </w:pPr>
      <w:r>
        <w:rPr>
          <w:rFonts w:ascii="宋体" w:hAnsi="宋体" w:cs="宋体"/>
          <w:kern w:val="0"/>
          <w:sz w:val="24"/>
          <w:szCs w:val="24"/>
        </w:rPr>
        <w:t>2、基金托管人的托管费</w:t>
      </w:r>
    </w:p>
    <w:p>
      <w:pPr>
        <w:pStyle w:val="65"/>
        <w:spacing w:line="360" w:lineRule="auto"/>
        <w:ind w:firstLine="480"/>
        <w:rPr>
          <w:rFonts w:ascii="宋体" w:hAnsi="宋体" w:cs="宋体"/>
          <w:kern w:val="0"/>
          <w:sz w:val="24"/>
          <w:szCs w:val="24"/>
        </w:rPr>
      </w:pPr>
      <w:r>
        <w:rPr>
          <w:rFonts w:ascii="宋体" w:hAnsi="宋体" w:cs="宋体"/>
          <w:kern w:val="0"/>
          <w:sz w:val="24"/>
          <w:szCs w:val="24"/>
        </w:rPr>
        <w:t>本基金的托管费按前一日基金资产净值的</w:t>
      </w:r>
      <w:r>
        <w:rPr>
          <w:rStyle w:val="66"/>
          <w:rFonts w:ascii="宋体" w:hAnsi="宋体" w:cs="宋体"/>
          <w:kern w:val="0"/>
          <w:sz w:val="24"/>
          <w:szCs w:val="24"/>
        </w:rPr>
        <w:t>0.10</w:t>
      </w:r>
      <w:r>
        <w:rPr>
          <w:rFonts w:ascii="宋体" w:hAnsi="宋体" w:cs="宋体"/>
          <w:kern w:val="0"/>
          <w:sz w:val="24"/>
          <w:szCs w:val="24"/>
        </w:rPr>
        <w:t>%的年费率计提。托管费的计算方法如下：</w:t>
      </w:r>
    </w:p>
    <w:p>
      <w:pPr>
        <w:pStyle w:val="65"/>
        <w:spacing w:line="360" w:lineRule="auto"/>
        <w:ind w:firstLine="480"/>
        <w:rPr>
          <w:rFonts w:ascii="宋体" w:hAnsi="宋体" w:cs="宋体"/>
          <w:kern w:val="0"/>
          <w:sz w:val="24"/>
          <w:szCs w:val="24"/>
        </w:rPr>
      </w:pPr>
      <w:r>
        <w:rPr>
          <w:rFonts w:ascii="宋体" w:hAnsi="宋体" w:cs="宋体"/>
          <w:kern w:val="0"/>
          <w:sz w:val="24"/>
          <w:szCs w:val="24"/>
        </w:rPr>
        <w:t>H＝E×</w:t>
      </w:r>
      <w:r>
        <w:rPr>
          <w:rStyle w:val="67"/>
          <w:rFonts w:ascii="宋体" w:hAnsi="宋体" w:cs="宋体"/>
          <w:kern w:val="0"/>
          <w:sz w:val="24"/>
          <w:szCs w:val="24"/>
        </w:rPr>
        <w:t>0.10</w:t>
      </w:r>
      <w:r>
        <w:rPr>
          <w:rFonts w:ascii="宋体" w:hAnsi="宋体" w:cs="宋体"/>
          <w:kern w:val="0"/>
          <w:sz w:val="24"/>
          <w:szCs w:val="24"/>
        </w:rPr>
        <w:t>%÷当年天数</w:t>
      </w:r>
    </w:p>
    <w:p>
      <w:pPr>
        <w:pStyle w:val="65"/>
        <w:spacing w:line="360" w:lineRule="auto"/>
        <w:ind w:firstLine="480"/>
        <w:rPr>
          <w:rFonts w:ascii="宋体" w:hAnsi="宋体" w:cs="宋体"/>
          <w:kern w:val="0"/>
          <w:sz w:val="24"/>
          <w:szCs w:val="24"/>
        </w:rPr>
      </w:pPr>
      <w:r>
        <w:rPr>
          <w:rFonts w:ascii="宋体" w:hAnsi="宋体" w:cs="宋体"/>
          <w:kern w:val="0"/>
          <w:sz w:val="24"/>
          <w:szCs w:val="24"/>
        </w:rPr>
        <w:t>H为每日应计提的基金托管费</w:t>
      </w:r>
    </w:p>
    <w:p>
      <w:pPr>
        <w:pStyle w:val="65"/>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pPr>
        <w:pStyle w:val="65"/>
        <w:spacing w:line="360" w:lineRule="auto"/>
        <w:ind w:firstLine="480"/>
        <w:rPr>
          <w:rFonts w:ascii="宋体" w:hAnsi="宋体" w:cs="宋体"/>
          <w:kern w:val="0"/>
          <w:sz w:val="24"/>
          <w:szCs w:val="24"/>
        </w:rPr>
      </w:pPr>
      <w:r>
        <w:rPr>
          <w:rFonts w:hint="eastAsia" w:ascii="宋体" w:hAnsi="宋体" w:cs="宋体"/>
          <w:kern w:val="0"/>
          <w:sz w:val="24"/>
          <w:szCs w:val="24"/>
        </w:rPr>
        <w:t>基金托管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上述“</w:t>
      </w:r>
      <w:r>
        <w:rPr>
          <w:rFonts w:hint="eastAsia" w:ascii="宋体" w:hAnsi="宋体" w:cs="宋体"/>
          <w:kern w:val="0"/>
          <w:sz w:val="24"/>
          <w:szCs w:val="24"/>
          <w:lang w:eastAsia="zh-CN"/>
        </w:rPr>
        <w:t>（</w:t>
      </w:r>
      <w:r>
        <w:rPr>
          <w:rFonts w:ascii="宋体" w:hAnsi="宋体" w:cs="宋体"/>
          <w:kern w:val="0"/>
          <w:sz w:val="24"/>
          <w:szCs w:val="24"/>
        </w:rPr>
        <w:t>一</w:t>
      </w:r>
      <w:r>
        <w:rPr>
          <w:rFonts w:hint="eastAsia" w:ascii="宋体" w:hAnsi="宋体" w:cs="宋体"/>
          <w:kern w:val="0"/>
          <w:sz w:val="24"/>
          <w:szCs w:val="24"/>
          <w:lang w:eastAsia="zh-CN"/>
        </w:rPr>
        <w:t>）</w:t>
      </w:r>
      <w:r>
        <w:rPr>
          <w:rFonts w:ascii="宋体" w:hAnsi="宋体" w:cs="宋体"/>
          <w:kern w:val="0"/>
          <w:sz w:val="24"/>
          <w:szCs w:val="24"/>
        </w:rPr>
        <w:t>基金费用的种类”中第</w:t>
      </w:r>
      <w:r>
        <w:rPr>
          <w:rStyle w:val="66"/>
          <w:rFonts w:ascii="宋体" w:hAnsi="宋体" w:cs="宋体"/>
          <w:kern w:val="0"/>
          <w:sz w:val="24"/>
          <w:szCs w:val="24"/>
        </w:rPr>
        <w:t>3</w:t>
      </w:r>
      <w:r>
        <w:rPr>
          <w:rFonts w:ascii="宋体" w:hAnsi="宋体" w:cs="宋体"/>
          <w:kern w:val="0"/>
          <w:sz w:val="24"/>
          <w:szCs w:val="24"/>
        </w:rPr>
        <w:t>－</w:t>
      </w:r>
      <w:r>
        <w:rPr>
          <w:rStyle w:val="67"/>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pPr>
        <w:spacing w:line="360" w:lineRule="auto"/>
        <w:ind w:firstLine="420"/>
        <w:rPr>
          <w:rFonts w:eastAsia="Times New Roman"/>
          <w:sz w:val="24"/>
          <w:szCs w:val="24"/>
        </w:rPr>
      </w:pPr>
      <w:r>
        <w:rPr>
          <w:rFonts w:ascii="宋体" w:hAnsi="宋体" w:cs="宋体"/>
          <w:sz w:val="24"/>
          <w:szCs w:val="24"/>
        </w:rPr>
        <w:t>（三）不列入基金费用的项目</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下列费用不列入基金费用：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1、基金管理人和基金托管人因未履行或未完全履行义务导致的费用支出或基金财产的损失；</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2、基金管理人和基金托管人处理与基金运作无关的事项发生的费用；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3、《基金合同》生效前的相关费用；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4、基金的指数许可使用费（该费用由基金管理人承担）；</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5、其他根据相关法律法规及中国证监会的有关规定不得列入基金费用的项目。</w:t>
      </w:r>
    </w:p>
    <w:p>
      <w:pPr>
        <w:spacing w:line="360" w:lineRule="auto"/>
        <w:ind w:firstLine="420"/>
        <w:rPr>
          <w:rFonts w:eastAsia="Times New Roman"/>
          <w:sz w:val="24"/>
          <w:szCs w:val="24"/>
        </w:rPr>
      </w:pPr>
      <w:r>
        <w:rPr>
          <w:rFonts w:ascii="宋体" w:hAnsi="宋体" w:cs="宋体"/>
          <w:sz w:val="24"/>
          <w:szCs w:val="24"/>
        </w:rPr>
        <w:t>（四）基金税收</w:t>
      </w:r>
    </w:p>
    <w:p>
      <w:pPr>
        <w:spacing w:line="360" w:lineRule="auto"/>
        <w:ind w:firstLine="420"/>
        <w:rPr>
          <w:rFonts w:eastAsia="Times New Roman"/>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五、基金财产的投资范围和投资限制</w:t>
      </w:r>
    </w:p>
    <w:p>
      <w:pPr>
        <w:spacing w:line="360" w:lineRule="auto"/>
        <w:ind w:firstLine="420"/>
        <w:rPr>
          <w:rFonts w:eastAsia="Times New Roman"/>
          <w:sz w:val="24"/>
          <w:szCs w:val="24"/>
        </w:rPr>
      </w:pPr>
      <w:r>
        <w:rPr>
          <w:rFonts w:ascii="宋体" w:hAnsi="宋体" w:cs="宋体"/>
          <w:sz w:val="24"/>
          <w:szCs w:val="24"/>
        </w:rPr>
        <w:t>（一）投资范围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本基金主要投资于标的指数成份股、备选成份股。为更好地实现投资目标，本基金可少量投资于非成份股（包括主板、创业板</w:t>
      </w:r>
      <w:r>
        <w:rPr>
          <w:rStyle w:val="66"/>
          <w:rFonts w:hint="eastAsia" w:ascii="宋体" w:hAnsi="宋体" w:cs="宋体"/>
          <w:kern w:val="0"/>
          <w:sz w:val="24"/>
          <w:szCs w:val="24"/>
        </w:rPr>
        <w:t>、科创板</w:t>
      </w:r>
      <w:r>
        <w:rPr>
          <w:rStyle w:val="66"/>
          <w:rFonts w:ascii="宋体" w:hAnsi="宋体" w:cs="宋体"/>
          <w:kern w:val="0"/>
          <w:sz w:val="24"/>
          <w:szCs w:val="24"/>
        </w:rPr>
        <w:t>及其他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w:t>
      </w:r>
      <w:r>
        <w:rPr>
          <w:rStyle w:val="66"/>
          <w:rFonts w:hint="eastAsia" w:ascii="宋体" w:hAnsi="宋体" w:cs="宋体"/>
          <w:kern w:val="0"/>
          <w:sz w:val="24"/>
          <w:szCs w:val="24"/>
        </w:rPr>
        <w:t>（</w:t>
      </w:r>
      <w:r>
        <w:rPr>
          <w:rStyle w:val="66"/>
          <w:rFonts w:ascii="宋体" w:hAnsi="宋体" w:cs="宋体"/>
          <w:kern w:val="0"/>
          <w:sz w:val="24"/>
          <w:szCs w:val="24"/>
        </w:rPr>
        <w:t>但须符合中国证监会相关规定</w:t>
      </w:r>
      <w:r>
        <w:rPr>
          <w:rStyle w:val="66"/>
          <w:rFonts w:hint="eastAsia" w:ascii="宋体" w:hAnsi="宋体" w:cs="宋体"/>
          <w:kern w:val="0"/>
          <w:sz w:val="24"/>
          <w:szCs w:val="24"/>
        </w:rPr>
        <w:t>）</w:t>
      </w:r>
      <w:r>
        <w:rPr>
          <w:rStyle w:val="66"/>
          <w:rFonts w:ascii="宋体" w:hAnsi="宋体" w:cs="宋体"/>
          <w:kern w:val="0"/>
          <w:sz w:val="24"/>
          <w:szCs w:val="24"/>
        </w:rPr>
        <w:t>。</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本基金可根据法律法规的规定参与融资及转融通证券出借业务。</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基金的投资组合比例为：投资于标的指数成份股和备选成份股的比例不低于基金资产净值的90%，且不低于非现金基金资产的80%，因法律法规的规定而受限制的情形除外。</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pPr>
        <w:spacing w:line="360" w:lineRule="auto"/>
        <w:ind w:firstLine="420"/>
        <w:rPr>
          <w:rFonts w:eastAsia="Times New Roman"/>
          <w:sz w:val="24"/>
          <w:szCs w:val="24"/>
        </w:rPr>
      </w:pPr>
      <w:r>
        <w:rPr>
          <w:rFonts w:ascii="宋体" w:hAnsi="宋体" w:cs="宋体"/>
          <w:sz w:val="24"/>
          <w:szCs w:val="24"/>
        </w:rPr>
        <w:t>（二）投资限制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1、组合限制</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基金的投资组合应遵循以下限制：</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（1）本基金投资于标的指数成份股和备选成份股的比例不低于基金资产净值的90%，且不低于非现金基金资产的80%；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（2）本基金投资于同一原始权益人的各类资产支持证券的比例，不得超过基金资产净值的10%；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（3）本基金持有的全部资产支持证券，其市值不得超过基金资产净值的20%；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（4）本基金持有的同一</w:t>
      </w:r>
      <w:r>
        <w:rPr>
          <w:rStyle w:val="66"/>
          <w:rFonts w:hint="eastAsia" w:ascii="宋体" w:hAnsi="宋体" w:cs="宋体"/>
          <w:kern w:val="0"/>
          <w:sz w:val="24"/>
          <w:szCs w:val="24"/>
        </w:rPr>
        <w:t>（</w:t>
      </w:r>
      <w:r>
        <w:rPr>
          <w:rStyle w:val="66"/>
          <w:rFonts w:ascii="宋体" w:hAnsi="宋体" w:cs="宋体"/>
          <w:kern w:val="0"/>
          <w:sz w:val="24"/>
          <w:szCs w:val="24"/>
        </w:rPr>
        <w:t>指同一信用级别</w:t>
      </w:r>
      <w:r>
        <w:rPr>
          <w:rStyle w:val="66"/>
          <w:rFonts w:hint="eastAsia" w:ascii="宋体" w:hAnsi="宋体" w:cs="宋体"/>
          <w:kern w:val="0"/>
          <w:sz w:val="24"/>
          <w:szCs w:val="24"/>
        </w:rPr>
        <w:t>）</w:t>
      </w:r>
      <w:r>
        <w:rPr>
          <w:rStyle w:val="66"/>
          <w:rFonts w:ascii="宋体" w:hAnsi="宋体" w:cs="宋体"/>
          <w:kern w:val="0"/>
          <w:sz w:val="24"/>
          <w:szCs w:val="24"/>
        </w:rPr>
        <w:t>资产支持证券的比例，不得超过该资产支持证券规模的10%；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（5）本基金管理人管理的全部基金投资于同一原始权益人的各类资产支持证券，不得超过其各类资产支持证券合计规模的10%；</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（6）</w:t>
      </w:r>
      <w:r>
        <w:rPr>
          <w:rStyle w:val="66"/>
          <w:rFonts w:ascii="宋体" w:hAnsi="宋体" w:cs="宋体"/>
          <w:kern w:val="0"/>
          <w:sz w:val="24"/>
          <w:szCs w:val="24"/>
        </w:rPr>
        <w:t>本基金应投资于信用级别评级为BBB以上</w:t>
      </w:r>
      <w:r>
        <w:rPr>
          <w:rStyle w:val="66"/>
          <w:rFonts w:hint="eastAsia" w:ascii="宋体" w:hAnsi="宋体" w:cs="宋体"/>
          <w:kern w:val="0"/>
          <w:sz w:val="24"/>
          <w:szCs w:val="24"/>
        </w:rPr>
        <w:t>（</w:t>
      </w:r>
      <w:r>
        <w:rPr>
          <w:rStyle w:val="66"/>
          <w:rFonts w:ascii="宋体" w:hAnsi="宋体" w:cs="宋体"/>
          <w:kern w:val="0"/>
          <w:sz w:val="24"/>
          <w:szCs w:val="24"/>
        </w:rPr>
        <w:t>含BBB</w:t>
      </w:r>
      <w:r>
        <w:rPr>
          <w:rStyle w:val="66"/>
          <w:rFonts w:hint="eastAsia" w:ascii="宋体" w:hAnsi="宋体" w:cs="宋体"/>
          <w:kern w:val="0"/>
          <w:sz w:val="24"/>
          <w:szCs w:val="24"/>
        </w:rPr>
        <w:t>）</w:t>
      </w:r>
      <w:r>
        <w:rPr>
          <w:rStyle w:val="66"/>
          <w:rFonts w:ascii="宋体" w:hAnsi="宋体" w:cs="宋体"/>
          <w:kern w:val="0"/>
          <w:sz w:val="24"/>
          <w:szCs w:val="24"/>
        </w:rPr>
        <w:t>的资产支持证券。基金持有资产支持证券期间，如果其信用等级下降、不再符合投资标准，应在评级报告发布之日起3个月内予以全部卖出；</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（7）基金财产参与股票发行申购，本基金所申报的金额不超过本基金的总资产，本基金所申报的股票数量不超过拟发行股票公司本次发行股票的总量；</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（8）本基金参与股指期货和国债期货交易的，应当遵守下列要求：</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1）本基金在任何交易日日终，持有的买入股指期货合约价值，不得超过基金资产净值的10%；持有的买入国债期货合约价值，不得超过基金资产净值的15%；</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3）本基金在任何交易日日终，持有的卖出股指期货合约价值不得超过基金持有的股票总市值的20%；持有的卖出国债期货合约价值不得超过基金持有的债券总市值的30%；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6）本基金每个交易日日终在扣除国债期货和股指期货合约需缴纳的交易保证金后，应当保持不低于交易保证金一倍的现金，其中现金不包括结算备付金、存出保证金、应收申购款等；</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9）因未平仓的股票期权合约支付和收取的权利金总额不得超过基金资产净值的10%；开仓卖出认购股票期权的，应持有足额标的证券；开仓卖出认沽股票期权的，应持有合约行权所需的全额现金或交易所规则认可的可冲抵期权保证金的现金等价物；未平仓的股票期权合约面值不得超过基金资产净值的20%。其中，合约面值按照行权价乘以合约乘数计算；</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（10）本基金参与融资的，每个交易日日终，本基金持有的融资买入股票与其他有价证券市值之和，不得超过基金资产净值的95%；</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（11）</w:t>
      </w:r>
      <w:r>
        <w:rPr>
          <w:rStyle w:val="66"/>
          <w:rFonts w:ascii="宋体" w:hAnsi="宋体" w:cs="宋体"/>
          <w:kern w:val="0"/>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（12）</w:t>
      </w:r>
      <w:r>
        <w:rPr>
          <w:rStyle w:val="66"/>
          <w:rFonts w:ascii="宋体" w:hAnsi="宋体" w:cs="宋体"/>
          <w:kern w:val="0"/>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pStyle w:val="65"/>
        <w:spacing w:line="360" w:lineRule="auto"/>
        <w:ind w:firstLine="480"/>
        <w:jc w:val="left"/>
        <w:rPr>
          <w:rStyle w:val="66"/>
          <w:rFonts w:ascii="宋体" w:hAnsi="宋体" w:cs="宋体"/>
          <w:kern w:val="0"/>
          <w:sz w:val="24"/>
          <w:szCs w:val="24"/>
        </w:rPr>
      </w:pPr>
      <w:r>
        <w:rPr>
          <w:rStyle w:val="69"/>
          <w:rFonts w:ascii="宋体" w:hAnsi="宋体" w:cs="宋体"/>
          <w:kern w:val="0"/>
          <w:sz w:val="24"/>
          <w:szCs w:val="24"/>
        </w:rPr>
        <w:t>（13）</w:t>
      </w:r>
      <w:r>
        <w:rPr>
          <w:rStyle w:val="66"/>
          <w:rFonts w:ascii="宋体" w:hAnsi="宋体" w:cs="宋体"/>
          <w:kern w:val="0"/>
          <w:sz w:val="24"/>
          <w:szCs w:val="24"/>
        </w:rPr>
        <w:t>本基金与私募类证券资管产品及中国证监会认定的其他主体为交易对手开展逆回购交易的，可接受质押品的资质要求应当与本基金合同约定的投资范围保持一致；</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（14）本基金资产总值不超过基金资产净值的140%；</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（15）本基金投资存托凭证的比例限制依照境内上市交易的股票执行；</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（16）法律法规及中国证监会规定的和《基金合同》约定的其他投资限制。</w:t>
      </w:r>
    </w:p>
    <w:p>
      <w:pPr>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除上述第</w:t>
      </w:r>
      <w:r>
        <w:rPr>
          <w:rStyle w:val="67"/>
          <w:rFonts w:ascii="宋体" w:hAnsi="宋体" w:cs="宋体"/>
          <w:kern w:val="0"/>
          <w:sz w:val="24"/>
          <w:szCs w:val="24"/>
        </w:rPr>
        <w:t>（6）</w:t>
      </w:r>
      <w:r>
        <w:rPr>
          <w:rStyle w:val="66"/>
          <w:rFonts w:ascii="宋体" w:hAnsi="宋体" w:cs="宋体"/>
          <w:kern w:val="0"/>
          <w:sz w:val="24"/>
          <w:szCs w:val="24"/>
        </w:rPr>
        <w:t>、</w:t>
      </w:r>
      <w:r>
        <w:rPr>
          <w:rStyle w:val="67"/>
          <w:rFonts w:ascii="宋体" w:hAnsi="宋体" w:cs="宋体"/>
          <w:kern w:val="0"/>
          <w:sz w:val="24"/>
          <w:szCs w:val="24"/>
        </w:rPr>
        <w:t>（11）</w:t>
      </w:r>
      <w:r>
        <w:rPr>
          <w:rStyle w:val="66"/>
          <w:rFonts w:ascii="宋体" w:hAnsi="宋体" w:cs="宋体"/>
          <w:kern w:val="0"/>
          <w:sz w:val="24"/>
          <w:szCs w:val="24"/>
        </w:rPr>
        <w:t>、</w:t>
      </w:r>
      <w:r>
        <w:rPr>
          <w:rStyle w:val="67"/>
          <w:rFonts w:ascii="宋体" w:hAnsi="宋体" w:cs="宋体"/>
          <w:kern w:val="0"/>
          <w:sz w:val="24"/>
          <w:szCs w:val="24"/>
        </w:rPr>
        <w:t>（12）</w:t>
      </w:r>
      <w:r>
        <w:rPr>
          <w:rStyle w:val="66"/>
          <w:rFonts w:ascii="宋体" w:hAnsi="宋体" w:cs="宋体"/>
          <w:kern w:val="0"/>
          <w:sz w:val="24"/>
          <w:szCs w:val="24"/>
        </w:rPr>
        <w:t>、</w:t>
      </w:r>
      <w:r>
        <w:rPr>
          <w:rStyle w:val="67"/>
          <w:rFonts w:ascii="宋体" w:hAnsi="宋体" w:cs="宋体"/>
          <w:kern w:val="0"/>
          <w:sz w:val="24"/>
          <w:szCs w:val="24"/>
        </w:rPr>
        <w:t>（13）</w:t>
      </w:r>
      <w:r>
        <w:rPr>
          <w:rStyle w:val="66"/>
          <w:rFonts w:ascii="宋体" w:hAnsi="宋体" w:cs="宋体"/>
          <w:kern w:val="0"/>
          <w:sz w:val="24"/>
          <w:szCs w:val="24"/>
        </w:rPr>
        <w:t>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11）项规定的，基金管理人不得新增出借业务。法律法规另有规定的从其规定。</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2、禁止行为</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为维护基金份额持有人的合法权益，基金财产不得用于下列投资或者活动：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（1）承销证券；</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（2）违反规定向他人贷款或者提供担保；</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（3）从事承担无限责任的投资；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（4）买卖其他基金份额，但是法律法规或中国证监会另有规定的除外；</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（5）向其基金管理人、基金托管人出资；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（6）从事内幕交易、操纵证券交易价格及其他不正当的证券交易活动；</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（7）法律、行政法规和中国证监会规定禁止的其他活动。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六、基金资产净值的计算方法和公告方式</w:t>
      </w:r>
    </w:p>
    <w:p>
      <w:pPr>
        <w:spacing w:line="360" w:lineRule="auto"/>
        <w:ind w:firstLine="420"/>
        <w:rPr>
          <w:rFonts w:eastAsia="Times New Roman"/>
          <w:sz w:val="24"/>
          <w:szCs w:val="24"/>
        </w:rPr>
      </w:pPr>
      <w:r>
        <w:rPr>
          <w:rFonts w:ascii="宋体" w:hAnsi="宋体" w:cs="宋体"/>
          <w:sz w:val="24"/>
          <w:szCs w:val="24"/>
        </w:rPr>
        <w:t>（一）估值方法</w:t>
      </w:r>
    </w:p>
    <w:p>
      <w:pPr>
        <w:pStyle w:val="65"/>
        <w:spacing w:line="360" w:lineRule="auto"/>
        <w:ind w:firstLine="480"/>
        <w:rPr>
          <w:rStyle w:val="66"/>
          <w:rFonts w:ascii="宋体" w:hAnsi="宋体" w:cs="宋体"/>
          <w:kern w:val="0"/>
          <w:sz w:val="24"/>
          <w:szCs w:val="24"/>
        </w:rPr>
      </w:pPr>
      <w:r>
        <w:rPr>
          <w:rStyle w:val="69"/>
          <w:rFonts w:ascii="宋体" w:hAnsi="宋体" w:cs="宋体"/>
          <w:kern w:val="0"/>
          <w:sz w:val="24"/>
          <w:szCs w:val="24"/>
        </w:rPr>
        <w:t>1、</w:t>
      </w:r>
      <w:r>
        <w:rPr>
          <w:rStyle w:val="66"/>
          <w:rFonts w:ascii="宋体" w:hAnsi="宋体" w:cs="宋体"/>
          <w:kern w:val="0"/>
          <w:sz w:val="24"/>
          <w:szCs w:val="24"/>
        </w:rPr>
        <w:t>证券交易所上市的有价证券的估值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（2）交易所上市不存在活跃市场的有价证券，采用估值技术确定公允价值。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2、处于未上市期间的有价证券应区分如下情况处理：</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（1）送股、转增股、配股和公开增发的新股，按估值日在证券交易所挂牌的同一股票的估值方法估值；该日无交易的，以最近一日的市价（收盘价）估值；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（2）首次公开发行未上市的股票，采用估值技术确定公允价值，在估值技术难以可靠计量公允价值的情况下，按成本估值；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以公允价值计量的固定收益品种</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对于已上市或已挂牌转让的不含权固定收益品种，选取第三方估值基准服务机构提供的相应品种当日的估值全价；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对于已上市或已挂牌转让的含权固定收益品种，选取第三方估值基准服务机构提供的相应品种当日的唯一估值全价或推荐估值全价；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（3）</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同一证券同时在两个或两个以上市场交易的，按证券所处的市场分别估值。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pPr>
        <w:widowControl/>
        <w:spacing w:line="360" w:lineRule="auto"/>
        <w:ind w:firstLine="480"/>
        <w:jc w:val="left"/>
        <w:rPr>
          <w:rStyle w:val="69"/>
          <w:rFonts w:ascii="宋体" w:hAnsi="宋体" w:cs="宋体"/>
          <w:kern w:val="0"/>
          <w:sz w:val="24"/>
          <w:szCs w:val="24"/>
        </w:rPr>
      </w:pPr>
      <w:r>
        <w:rPr>
          <w:rStyle w:val="69"/>
          <w:rFonts w:ascii="宋体" w:hAnsi="宋体" w:cs="宋体"/>
          <w:kern w:val="0"/>
          <w:sz w:val="24"/>
          <w:szCs w:val="24"/>
        </w:rPr>
        <w:t>7、</w:t>
      </w:r>
      <w:r>
        <w:rPr>
          <w:rStyle w:val="66"/>
          <w:rFonts w:ascii="宋体" w:hAnsi="宋体" w:cs="宋体"/>
          <w:kern w:val="0"/>
          <w:sz w:val="24"/>
          <w:szCs w:val="24"/>
        </w:rPr>
        <w:t>本基金投资股票期权合约，一般以股票期权估值日的结算价进行估值，估值当日无结算价的，且最近交易日后经济环境未发生重大变化的，采用最近交易日结算价估值。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8、本基金投资国债期货合约，</w:t>
      </w:r>
      <w:r>
        <w:rPr>
          <w:rStyle w:val="66"/>
          <w:rFonts w:hint="eastAsia" w:ascii="宋体" w:hAnsi="宋体" w:cs="宋体"/>
          <w:kern w:val="0"/>
          <w:sz w:val="24"/>
          <w:szCs w:val="24"/>
        </w:rPr>
        <w:t>一般以国债期货估值日的结算价进行估值</w:t>
      </w:r>
      <w:r>
        <w:rPr>
          <w:rStyle w:val="66"/>
          <w:rFonts w:ascii="宋体" w:hAnsi="宋体" w:cs="宋体"/>
          <w:kern w:val="0"/>
          <w:sz w:val="24"/>
          <w:szCs w:val="24"/>
        </w:rPr>
        <w:t>，估值当日无结算价的，且最近交易日后经济环境未发生重大变化的，采用最近交易日结算价估值。</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9、本基金投资存托凭证的估值核算，依照境内上市交易的股票进行。</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10、本基金参与融资和转融通证券出借业务的，按照相关法律法规和行业协会的相关规定进行估值。</w:t>
      </w:r>
    </w:p>
    <w:p>
      <w:pPr>
        <w:pStyle w:val="65"/>
        <w:spacing w:line="360" w:lineRule="auto"/>
        <w:ind w:firstLine="480"/>
        <w:jc w:val="left"/>
        <w:rPr>
          <w:rFonts w:ascii="宋体" w:hAnsi="宋体" w:cs="宋体"/>
          <w:kern w:val="0"/>
          <w:sz w:val="24"/>
          <w:szCs w:val="24"/>
        </w:rPr>
      </w:pPr>
      <w:r>
        <w:rPr>
          <w:rStyle w:val="69"/>
          <w:rFonts w:ascii="宋体" w:hAnsi="宋体" w:cs="宋体"/>
          <w:kern w:val="0"/>
          <w:sz w:val="24"/>
          <w:szCs w:val="24"/>
        </w:rPr>
        <w:t>11、</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12、</w:t>
      </w:r>
      <w:r>
        <w:rPr>
          <w:rFonts w:ascii="宋体" w:hAnsi="宋体" w:cs="宋体"/>
          <w:kern w:val="0"/>
          <w:sz w:val="24"/>
          <w:szCs w:val="24"/>
        </w:rPr>
        <w:t>相关法律法规以及监管部门有强制规定的，从其规定。如有新增事项，按国家最新规定估值。</w:t>
      </w:r>
    </w:p>
    <w:p>
      <w:pPr>
        <w:pStyle w:val="65"/>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pStyle w:val="65"/>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20"/>
        <w:rPr>
          <w:rFonts w:eastAsia="Times New Roman"/>
          <w:sz w:val="24"/>
          <w:szCs w:val="24"/>
        </w:rPr>
      </w:pPr>
      <w:r>
        <w:rPr>
          <w:rFonts w:ascii="宋体" w:hAnsi="宋体" w:cs="宋体"/>
          <w:sz w:val="24"/>
          <w:szCs w:val="24"/>
        </w:rPr>
        <w:t>（二）估值程序</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1、基金份额净值是按照每个估值日闭市后，基金资产净值除以当日基金份额的余额数量计算，精确到0.0001元，小数点后第5位四舍五入，由此产生的误差计入基金财产。基金管理人可以设立大额赎回情形下的净值精度应急调整机制。国家另有规定的，从其规定。</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基金管理人每个估值日计算基金资产净值及基金份额净值，并按规定公告。</w:t>
      </w:r>
    </w:p>
    <w:p>
      <w:pPr>
        <w:pStyle w:val="65"/>
        <w:spacing w:line="360" w:lineRule="auto"/>
        <w:ind w:firstLine="480"/>
        <w:rPr>
          <w:rStyle w:val="66"/>
          <w:rFonts w:ascii="宋体" w:hAnsi="宋体" w:cs="宋体"/>
          <w:kern w:val="0"/>
          <w:sz w:val="24"/>
          <w:szCs w:val="24"/>
        </w:rPr>
      </w:pPr>
      <w:r>
        <w:rPr>
          <w:rStyle w:val="66"/>
          <w:rFonts w:ascii="宋体" w:hAnsi="宋体" w:cs="宋体"/>
          <w:kern w:val="0"/>
          <w:sz w:val="24"/>
          <w:szCs w:val="24"/>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约定对外公布。</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七、基金合同解除和终止的事由、程序以及基金财产清算方式</w:t>
      </w:r>
    </w:p>
    <w:p>
      <w:pPr>
        <w:spacing w:line="360" w:lineRule="auto"/>
        <w:ind w:firstLine="420"/>
        <w:rPr>
          <w:rFonts w:eastAsia="Times New Roman"/>
          <w:sz w:val="24"/>
          <w:szCs w:val="24"/>
        </w:rPr>
      </w:pPr>
      <w:r>
        <w:rPr>
          <w:rFonts w:ascii="宋体" w:hAnsi="宋体" w:cs="宋体"/>
          <w:sz w:val="24"/>
          <w:szCs w:val="24"/>
        </w:rPr>
        <w:t>（一）《基金合同》的变更</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2、关于《基金合同》变更的基金份额持有人大会决议自生效后方可执行，自决议生效后两日内在规定媒介公告。</w:t>
      </w:r>
    </w:p>
    <w:p>
      <w:pPr>
        <w:spacing w:line="360" w:lineRule="auto"/>
        <w:ind w:firstLine="420"/>
        <w:rPr>
          <w:rFonts w:eastAsia="Times New Roman"/>
          <w:sz w:val="24"/>
          <w:szCs w:val="24"/>
        </w:rPr>
      </w:pPr>
      <w:r>
        <w:rPr>
          <w:rFonts w:ascii="宋体" w:hAnsi="宋体" w:cs="宋体"/>
          <w:sz w:val="24"/>
          <w:szCs w:val="24"/>
        </w:rPr>
        <w:t>（二）《基金合同》的终止事由</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有下列情形之一的，经履行相关程序后，《基金合同》应当终止：</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1、</w:t>
      </w:r>
      <w:r>
        <w:rPr>
          <w:rFonts w:ascii="宋体" w:hAnsi="宋体" w:cs="宋体"/>
          <w:kern w:val="0"/>
          <w:sz w:val="24"/>
          <w:szCs w:val="24"/>
        </w:rPr>
        <w:t>基金份额持有人大会决定终止的；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pPr>
        <w:pStyle w:val="65"/>
        <w:spacing w:line="360" w:lineRule="auto"/>
        <w:ind w:firstLine="480"/>
        <w:jc w:val="left"/>
        <w:rPr>
          <w:rStyle w:val="66"/>
          <w:rFonts w:ascii="宋体" w:hAnsi="宋体" w:cs="宋体"/>
          <w:kern w:val="0"/>
          <w:sz w:val="24"/>
          <w:szCs w:val="24"/>
        </w:rPr>
      </w:pPr>
      <w:r>
        <w:rPr>
          <w:rStyle w:val="66"/>
          <w:rFonts w:ascii="宋体" w:hAnsi="宋体" w:cs="宋体"/>
          <w:kern w:val="0"/>
          <w:sz w:val="24"/>
          <w:szCs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4、</w:t>
      </w:r>
      <w:r>
        <w:rPr>
          <w:rFonts w:ascii="宋体" w:hAnsi="宋体" w:cs="宋体"/>
          <w:kern w:val="0"/>
          <w:sz w:val="24"/>
          <w:szCs w:val="24"/>
        </w:rPr>
        <w:t>《基金合同》约定的其他情形；</w:t>
      </w:r>
    </w:p>
    <w:p>
      <w:pPr>
        <w:pStyle w:val="65"/>
        <w:spacing w:line="360" w:lineRule="auto"/>
        <w:ind w:firstLine="480"/>
        <w:jc w:val="left"/>
        <w:rPr>
          <w:rFonts w:ascii="宋体" w:hAnsi="宋体" w:cs="宋体"/>
          <w:kern w:val="0"/>
          <w:sz w:val="24"/>
          <w:szCs w:val="24"/>
        </w:rPr>
      </w:pPr>
      <w:r>
        <w:rPr>
          <w:rStyle w:val="66"/>
          <w:rFonts w:ascii="宋体" w:hAnsi="宋体" w:cs="宋体"/>
          <w:kern w:val="0"/>
          <w:sz w:val="24"/>
          <w:szCs w:val="24"/>
        </w:rPr>
        <w:t>5、</w:t>
      </w:r>
      <w:r>
        <w:rPr>
          <w:rFonts w:ascii="宋体" w:hAnsi="宋体" w:cs="宋体"/>
          <w:kern w:val="0"/>
          <w:sz w:val="24"/>
          <w:szCs w:val="24"/>
        </w:rPr>
        <w:t>相关法律法规和中国证监会规定的其他情况。</w:t>
      </w:r>
    </w:p>
    <w:p>
      <w:pPr>
        <w:spacing w:line="360" w:lineRule="auto"/>
        <w:ind w:firstLine="420"/>
        <w:rPr>
          <w:rFonts w:eastAsia="Times New Roman"/>
          <w:sz w:val="24"/>
          <w:szCs w:val="24"/>
        </w:rPr>
      </w:pPr>
      <w:r>
        <w:rPr>
          <w:rFonts w:ascii="宋体" w:hAnsi="宋体" w:cs="宋体"/>
          <w:sz w:val="24"/>
          <w:szCs w:val="24"/>
        </w:rPr>
        <w:t>（三）基金财产的清算</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4、基金财产清算程序：</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（1）《基金合同》终止情形出现时，由基金财产清算小组统一接管基金；</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（2）对基金财产和债权债务进行清理和确认；</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（3）对基金财产进行估值和变现；</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（4）制作清算报告；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（6）将清算报告报中国证监会备案并公告；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（7）对基金剩余财产进行分配。</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pPr>
        <w:spacing w:line="360" w:lineRule="auto"/>
        <w:ind w:firstLine="420"/>
        <w:rPr>
          <w:rFonts w:eastAsia="Times New Roman"/>
          <w:sz w:val="24"/>
          <w:szCs w:val="24"/>
        </w:rPr>
      </w:pPr>
      <w:r>
        <w:rPr>
          <w:rFonts w:ascii="宋体" w:hAnsi="宋体" w:cs="宋体"/>
          <w:sz w:val="24"/>
          <w:szCs w:val="24"/>
        </w:rPr>
        <w:t>（四）清算费用</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pPr>
        <w:spacing w:line="360" w:lineRule="auto"/>
        <w:ind w:firstLine="420"/>
        <w:rPr>
          <w:rFonts w:eastAsia="Times New Roman"/>
          <w:sz w:val="24"/>
          <w:szCs w:val="24"/>
        </w:rPr>
      </w:pPr>
      <w:r>
        <w:rPr>
          <w:rFonts w:ascii="宋体" w:hAnsi="宋体" w:cs="宋体"/>
          <w:sz w:val="24"/>
          <w:szCs w:val="24"/>
        </w:rPr>
        <w:t>（五）基金财产清算剩余资产的分配</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20"/>
        <w:rPr>
          <w:rFonts w:eastAsia="Times New Roman"/>
          <w:sz w:val="24"/>
          <w:szCs w:val="24"/>
        </w:rPr>
      </w:pPr>
      <w:r>
        <w:rPr>
          <w:rFonts w:ascii="宋体" w:hAnsi="宋体" w:cs="宋体"/>
          <w:sz w:val="24"/>
          <w:szCs w:val="24"/>
        </w:rPr>
        <w:t>（六）基金财产清算的公告</w:t>
      </w:r>
    </w:p>
    <w:p>
      <w:pPr>
        <w:pStyle w:val="65"/>
        <w:spacing w:line="360" w:lineRule="auto"/>
        <w:ind w:firstLine="480"/>
        <w:jc w:val="left"/>
        <w:rPr>
          <w:rFonts w:ascii="宋体" w:hAnsi="宋体" w:cs="宋体"/>
          <w:kern w:val="0"/>
          <w:sz w:val="24"/>
          <w:szCs w:val="24"/>
        </w:rPr>
      </w:pPr>
      <w:r>
        <w:rPr>
          <w:rFonts w:ascii="宋体" w:hAnsi="宋体" w:cs="宋体"/>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20"/>
        <w:rPr>
          <w:rFonts w:eastAsia="Times New Roman"/>
          <w:sz w:val="24"/>
          <w:szCs w:val="24"/>
        </w:rPr>
      </w:pPr>
      <w:r>
        <w:rPr>
          <w:rFonts w:ascii="宋体" w:hAnsi="宋体" w:cs="宋体"/>
          <w:sz w:val="24"/>
          <w:szCs w:val="24"/>
        </w:rPr>
        <w:t>（七）基金财产清算账册及文件的保存</w:t>
      </w:r>
    </w:p>
    <w:p>
      <w:pPr>
        <w:pStyle w:val="65"/>
        <w:spacing w:line="360" w:lineRule="auto"/>
        <w:ind w:firstLine="480"/>
        <w:rPr>
          <w:rFonts w:ascii="宋体" w:hAnsi="宋体" w:cs="宋体"/>
          <w:sz w:val="24"/>
          <w:szCs w:val="24"/>
        </w:rPr>
      </w:pPr>
      <w:r>
        <w:rPr>
          <w:rFonts w:hint="eastAsia" w:ascii="宋体" w:hAnsi="宋体" w:cs="宋体"/>
          <w:sz w:val="24"/>
          <w:szCs w:val="24"/>
        </w:rPr>
        <w:t>基金财产清算账册及有关文件由基金托管人保存，保存期限不少于法定最低期限。</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八、争议解决方式</w:t>
      </w:r>
    </w:p>
    <w:p>
      <w:pPr>
        <w:pStyle w:val="65"/>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pPr>
        <w:pStyle w:val="65"/>
        <w:spacing w:line="360" w:lineRule="auto"/>
        <w:ind w:firstLine="480"/>
        <w:rPr>
          <w:rFonts w:eastAsia="Times New Roman"/>
          <w:kern w:val="0"/>
          <w:sz w:val="24"/>
          <w:szCs w:val="24"/>
        </w:rPr>
      </w:pPr>
      <w:r>
        <w:rPr>
          <w:rFonts w:ascii="宋体" w:hAnsi="宋体" w:cs="宋体"/>
          <w:kern w:val="0"/>
          <w:sz w:val="24"/>
          <w:szCs w:val="24"/>
        </w:rPr>
        <w:t>争议处理期间，相关各方当事人应恪守各自职责，继续忠实、勤勉、尽责地履行《基金合同》约定的义务，维护基金份额持有人的合法权益。</w:t>
      </w:r>
    </w:p>
    <w:p>
      <w:pPr>
        <w:spacing w:line="360" w:lineRule="auto"/>
        <w:ind w:firstLine="420"/>
        <w:rPr>
          <w:rFonts w:eastAsia="Times New Roman"/>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pPr>
        <w:pStyle w:val="3"/>
        <w:keepNext w:val="0"/>
        <w:keepLines w:val="0"/>
        <w:spacing w:before="0" w:after="0" w:line="360" w:lineRule="auto"/>
        <w:ind w:firstLine="420"/>
        <w:rPr>
          <w:rFonts w:ascii="Times New Roman" w:hAnsi="Times New Roman" w:eastAsia="Times New Roman"/>
          <w:bCs/>
          <w:sz w:val="24"/>
          <w:szCs w:val="24"/>
        </w:rPr>
      </w:pPr>
      <w:r>
        <w:rPr>
          <w:rFonts w:ascii="宋体" w:hAnsi="宋体" w:eastAsia="宋体" w:cs="宋体"/>
          <w:bCs/>
          <w:sz w:val="24"/>
          <w:szCs w:val="24"/>
        </w:rPr>
        <w:t>九、基金合同的效力</w:t>
      </w:r>
    </w:p>
    <w:p>
      <w:pPr>
        <w:pStyle w:val="65"/>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pPr>
        <w:pStyle w:val="65"/>
        <w:spacing w:line="360" w:lineRule="auto"/>
        <w:ind w:firstLine="480"/>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pPr>
        <w:pStyle w:val="65"/>
        <w:spacing w:line="360" w:lineRule="auto"/>
        <w:ind w:firstLine="480"/>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pPr>
        <w:pStyle w:val="65"/>
        <w:spacing w:line="360" w:lineRule="auto"/>
        <w:ind w:firstLine="480"/>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pPr>
        <w:pStyle w:val="65"/>
        <w:spacing w:line="360" w:lineRule="auto"/>
        <w:ind w:firstLine="480"/>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pPr>
        <w:pStyle w:val="65"/>
        <w:spacing w:line="360" w:lineRule="auto"/>
        <w:ind w:firstLine="480"/>
        <w:rPr>
          <w:rFonts w:ascii="Times New Roman"/>
          <w:color w:val="auto"/>
          <w:sz w:val="30"/>
        </w:rPr>
      </w:pPr>
      <w:r>
        <w:rPr>
          <w:rFonts w:ascii="宋体" w:hAnsi="宋体" w:cs="宋体"/>
          <w:kern w:val="0"/>
          <w:sz w:val="24"/>
          <w:szCs w:val="24"/>
        </w:rPr>
        <w:t>5、《基金合同》可印制成册，供投资者在基金管理人、基金托管人、销售机构的办公场所和营业场所查阅。</w:t>
      </w:r>
    </w:p>
    <w:p>
      <w:pPr>
        <w:rPr>
          <w:rFonts w:ascii="Times New Roman"/>
          <w:color w:val="auto"/>
          <w:sz w:val="30"/>
        </w:rPr>
      </w:pPr>
    </w:p>
    <w:p>
      <w:pPr>
        <w:rPr>
          <w:rFonts w:ascii="Times New Roman"/>
          <w:color w:val="auto"/>
          <w:sz w:val="30"/>
        </w:rPr>
        <w:sectPr>
          <w:footerReference r:id="rId6" w:type="default"/>
          <w:pgSz w:w="11906" w:h="16838"/>
          <w:pgMar w:top="1440" w:right="1800" w:bottom="1440" w:left="1800" w:header="851" w:footer="992" w:gutter="0"/>
          <w:pgNumType w:start="1"/>
          <w:cols w:space="720" w:num="1"/>
          <w:docGrid w:type="lines" w:linePitch="312" w:charSpace="0"/>
        </w:sectPr>
      </w:pPr>
    </w:p>
    <w:p>
      <w:pPr>
        <w:autoSpaceDE w:val="0"/>
        <w:autoSpaceDN w:val="0"/>
        <w:adjustRightInd w:val="0"/>
        <w:spacing w:line="360" w:lineRule="auto"/>
        <w:jc w:val="left"/>
        <w:rPr>
          <w:bCs/>
          <w:sz w:val="24"/>
        </w:rPr>
      </w:pPr>
      <w:r>
        <w:rPr>
          <w:rFonts w:hint="eastAsia" w:ascii="宋体" w:hAnsi="宋体"/>
          <w:sz w:val="24"/>
        </w:rPr>
        <w:t>本页无正文，为《</w:t>
      </w:r>
      <w:r>
        <w:rPr>
          <w:rFonts w:ascii="宋体" w:hAnsi="宋体"/>
          <w:sz w:val="24"/>
        </w:rPr>
        <w:t>汇添富中证家电龙头交易型开放式指数证券投资基金</w:t>
      </w:r>
      <w:r>
        <w:rPr>
          <w:rFonts w:hint="eastAsia" w:ascii="宋体" w:hAnsi="宋体"/>
          <w:sz w:val="24"/>
        </w:rPr>
        <w:t>基金合同》签字盖章页</w:t>
      </w:r>
    </w:p>
    <w:p>
      <w:pPr>
        <w:autoSpaceDE w:val="0"/>
        <w:autoSpaceDN w:val="0"/>
        <w:spacing w:line="360" w:lineRule="auto"/>
        <w:ind w:firstLine="425"/>
        <w:textAlignment w:val="bottom"/>
        <w:rPr>
          <w:rFonts w:ascii="宋体" w:hAnsi="宋体"/>
          <w:sz w:val="24"/>
        </w:rPr>
      </w:pPr>
    </w:p>
    <w:p>
      <w:pPr>
        <w:autoSpaceDE w:val="0"/>
        <w:autoSpaceDN w:val="0"/>
        <w:spacing w:line="360" w:lineRule="auto"/>
        <w:ind w:firstLine="425"/>
        <w:textAlignment w:val="bottom"/>
        <w:rPr>
          <w:rFonts w:ascii="宋体" w:hAnsi="宋体"/>
          <w:sz w:val="24"/>
        </w:rPr>
      </w:pPr>
    </w:p>
    <w:p>
      <w:pPr>
        <w:spacing w:line="360" w:lineRule="auto"/>
        <w:ind w:right="26"/>
        <w:rPr>
          <w:rFonts w:ascii="宋体" w:hAnsi="宋体"/>
          <w:sz w:val="24"/>
        </w:rPr>
      </w:pPr>
    </w:p>
    <w:p>
      <w:pPr>
        <w:spacing w:line="360" w:lineRule="auto"/>
        <w:ind w:right="26"/>
        <w:rPr>
          <w:rFonts w:ascii="宋体" w:hAnsi="宋体"/>
          <w:b/>
          <w:sz w:val="24"/>
        </w:rPr>
      </w:pPr>
      <w:r>
        <w:rPr>
          <w:rFonts w:hint="eastAsia" w:ascii="宋体" w:hAnsi="宋体"/>
          <w:b/>
          <w:sz w:val="24"/>
        </w:rPr>
        <w:t>基金管理人：</w:t>
      </w:r>
      <w:r>
        <w:rPr>
          <w:rFonts w:ascii="宋体" w:hAnsi="宋体"/>
          <w:b/>
          <w:sz w:val="24"/>
        </w:rPr>
        <w:t>汇添富基金管理股份有限公司</w:t>
      </w:r>
      <w:r>
        <w:rPr>
          <w:rFonts w:hint="eastAsia" w:ascii="宋体" w:hAnsi="宋体"/>
          <w:b/>
          <w:sz w:val="24"/>
        </w:rPr>
        <w:t>（公章）</w:t>
      </w: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r>
        <w:rPr>
          <w:rFonts w:hint="eastAsia" w:ascii="宋体" w:hAnsi="宋体"/>
          <w:b/>
          <w:sz w:val="24"/>
        </w:rPr>
        <w:t>法定代表人或授权代表：            （签字或</w:t>
      </w:r>
      <w:r>
        <w:rPr>
          <w:rFonts w:ascii="宋体" w:hAnsi="宋体"/>
          <w:b/>
          <w:sz w:val="24"/>
        </w:rPr>
        <w:t>盖章</w:t>
      </w:r>
      <w:r>
        <w:rPr>
          <w:rFonts w:hint="eastAsia" w:ascii="宋体" w:hAnsi="宋体"/>
          <w:b/>
          <w:sz w:val="24"/>
        </w:rPr>
        <w:t>）</w:t>
      </w: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r>
        <w:rPr>
          <w:rFonts w:hint="eastAsia" w:ascii="宋体" w:hAnsi="宋体"/>
          <w:b/>
          <w:sz w:val="24"/>
        </w:rPr>
        <w:t>基金托管人：</w:t>
      </w:r>
      <w:r>
        <w:rPr>
          <w:rFonts w:ascii="宋体" w:hAnsi="宋体"/>
          <w:b/>
          <w:sz w:val="24"/>
        </w:rPr>
        <w:t>国金证券股份有限公司</w:t>
      </w:r>
      <w:r>
        <w:rPr>
          <w:rFonts w:hint="eastAsia" w:ascii="宋体" w:hAnsi="宋体"/>
          <w:b/>
          <w:sz w:val="24"/>
        </w:rPr>
        <w:t>（公章或合同专用章）</w:t>
      </w: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r>
        <w:rPr>
          <w:rFonts w:hint="eastAsia" w:ascii="宋体" w:hAnsi="宋体"/>
          <w:b/>
          <w:sz w:val="24"/>
        </w:rPr>
        <w:t>法定代表人或授权代表：            （签字或盖章）</w:t>
      </w: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p>
    <w:p>
      <w:pPr>
        <w:spacing w:line="360" w:lineRule="auto"/>
        <w:ind w:right="26"/>
        <w:rPr>
          <w:rFonts w:ascii="宋体" w:hAnsi="宋体"/>
          <w:b/>
          <w:sz w:val="24"/>
        </w:rPr>
      </w:pPr>
      <w:r>
        <w:rPr>
          <w:rFonts w:hint="eastAsia" w:ascii="宋体" w:hAnsi="宋体"/>
          <w:b/>
          <w:sz w:val="24"/>
        </w:rPr>
        <w:t>签订地点：</w:t>
      </w:r>
    </w:p>
    <w:p>
      <w:pPr>
        <w:autoSpaceDE w:val="0"/>
        <w:autoSpaceDN w:val="0"/>
        <w:adjustRightInd w:val="0"/>
        <w:spacing w:line="360" w:lineRule="auto"/>
        <w:jc w:val="left"/>
        <w:rPr>
          <w:bCs/>
        </w:rPr>
      </w:pPr>
      <w:r>
        <w:rPr>
          <w:rFonts w:hint="eastAsia" w:ascii="宋体" w:hAnsi="宋体"/>
          <w:b/>
          <w:sz w:val="24"/>
        </w:rPr>
        <w:t>签 订 日：</w:t>
      </w:r>
      <w:r>
        <w:rPr>
          <w:rFonts w:ascii="宋体" w:hAnsi="宋体"/>
          <w:b/>
          <w:sz w:val="24"/>
        </w:rPr>
        <w:t xml:space="preserve">   </w:t>
      </w:r>
      <w:r>
        <w:rPr>
          <w:rFonts w:hint="eastAsia" w:ascii="宋体" w:hAnsi="宋体"/>
          <w:b/>
          <w:sz w:val="24"/>
        </w:rPr>
        <w:t xml:space="preserve">年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月  </w:t>
      </w:r>
      <w:r>
        <w:rPr>
          <w:rFonts w:ascii="宋体" w:hAnsi="宋体"/>
          <w:b/>
          <w:sz w:val="24"/>
        </w:rPr>
        <w:t xml:space="preserve">  </w:t>
      </w:r>
      <w:r>
        <w:rPr>
          <w:rFonts w:hint="eastAsia" w:ascii="宋体" w:hAnsi="宋体"/>
          <w:b/>
          <w:sz w:val="24"/>
        </w:rPr>
        <w:t>日</w:t>
      </w: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608622"/>
    </w:sdtPr>
    <w:sdtContent>
      <w:p>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979234"/>
    </w:sdtPr>
    <w:sdtContent>
      <w:p>
        <w:pPr>
          <w:pStyle w:val="13"/>
          <w:jc w:val="center"/>
        </w:pPr>
        <w:r>
          <w:fldChar w:fldCharType="begin"/>
        </w:r>
        <w:r>
          <w:instrText xml:space="preserve">PAGE   \* MERGEFORMAT</w:instrText>
        </w:r>
        <w:r>
          <w:fldChar w:fldCharType="separate"/>
        </w:r>
        <w:r>
          <w:rPr>
            <w:lang w:val="zh-CN"/>
          </w:rPr>
          <w:t>74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pPr>
    <w:r>
      <w:t>汇添富中证家电龙头交易型开放式指数证券投资基金</w:t>
    </w:r>
    <w:r>
      <w:tab/>
    </w:r>
    <w: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pPr>
    <w:r>
      <w:t>汇添富中证家电龙头交易型开放式指数证券投资基金</w:t>
    </w:r>
    <w:r>
      <w:tab/>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bullet"/>
      <w:pStyle w:val="36"/>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7658"/>
    <w:rsid w:val="000700C4"/>
    <w:rsid w:val="00072899"/>
    <w:rsid w:val="0007536D"/>
    <w:rsid w:val="00080338"/>
    <w:rsid w:val="0008313D"/>
    <w:rsid w:val="00085549"/>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22C5"/>
    <w:rsid w:val="001531D8"/>
    <w:rsid w:val="00153D01"/>
    <w:rsid w:val="00153E62"/>
    <w:rsid w:val="00154395"/>
    <w:rsid w:val="00154557"/>
    <w:rsid w:val="00156A25"/>
    <w:rsid w:val="00157A3D"/>
    <w:rsid w:val="00163549"/>
    <w:rsid w:val="00164D53"/>
    <w:rsid w:val="00171C27"/>
    <w:rsid w:val="00172A27"/>
    <w:rsid w:val="0017353E"/>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121"/>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13BD"/>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488F"/>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D33DE"/>
    <w:rsid w:val="002E0E13"/>
    <w:rsid w:val="002E3842"/>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2E7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16341"/>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48B5"/>
    <w:rsid w:val="00476147"/>
    <w:rsid w:val="00477B2F"/>
    <w:rsid w:val="00481428"/>
    <w:rsid w:val="004817AB"/>
    <w:rsid w:val="00482449"/>
    <w:rsid w:val="00483A5A"/>
    <w:rsid w:val="004850E4"/>
    <w:rsid w:val="00485743"/>
    <w:rsid w:val="00485D6C"/>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03F1"/>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6F47"/>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0C44"/>
    <w:rsid w:val="008A1936"/>
    <w:rsid w:val="008A29AF"/>
    <w:rsid w:val="008A3C1F"/>
    <w:rsid w:val="008A664D"/>
    <w:rsid w:val="008B377E"/>
    <w:rsid w:val="008B5538"/>
    <w:rsid w:val="008B69A5"/>
    <w:rsid w:val="008C2DB4"/>
    <w:rsid w:val="008C2F9E"/>
    <w:rsid w:val="008C3F2C"/>
    <w:rsid w:val="008C5E8F"/>
    <w:rsid w:val="008C69EC"/>
    <w:rsid w:val="008D13E6"/>
    <w:rsid w:val="008D1538"/>
    <w:rsid w:val="008D4520"/>
    <w:rsid w:val="008E1E18"/>
    <w:rsid w:val="008E46DA"/>
    <w:rsid w:val="008E4ED9"/>
    <w:rsid w:val="008F2229"/>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3276"/>
    <w:rsid w:val="00923E84"/>
    <w:rsid w:val="00932484"/>
    <w:rsid w:val="00932558"/>
    <w:rsid w:val="0093355C"/>
    <w:rsid w:val="00937205"/>
    <w:rsid w:val="00937C1D"/>
    <w:rsid w:val="00940EDA"/>
    <w:rsid w:val="00942271"/>
    <w:rsid w:val="00943759"/>
    <w:rsid w:val="009503C7"/>
    <w:rsid w:val="00950B05"/>
    <w:rsid w:val="0095289B"/>
    <w:rsid w:val="00953B50"/>
    <w:rsid w:val="00957CC9"/>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E72"/>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00C"/>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547BF"/>
    <w:rsid w:val="00A65193"/>
    <w:rsid w:val="00A67AD3"/>
    <w:rsid w:val="00A73902"/>
    <w:rsid w:val="00A73925"/>
    <w:rsid w:val="00A756D5"/>
    <w:rsid w:val="00A75C27"/>
    <w:rsid w:val="00A76B1E"/>
    <w:rsid w:val="00A77A39"/>
    <w:rsid w:val="00A77AE9"/>
    <w:rsid w:val="00A814A0"/>
    <w:rsid w:val="00A81503"/>
    <w:rsid w:val="00A8233D"/>
    <w:rsid w:val="00A85D20"/>
    <w:rsid w:val="00A86332"/>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0BD"/>
    <w:rsid w:val="00AF31D5"/>
    <w:rsid w:val="00AF6810"/>
    <w:rsid w:val="00B0001B"/>
    <w:rsid w:val="00B034AA"/>
    <w:rsid w:val="00B03EB7"/>
    <w:rsid w:val="00B0594C"/>
    <w:rsid w:val="00B05FC7"/>
    <w:rsid w:val="00B06E05"/>
    <w:rsid w:val="00B13ECD"/>
    <w:rsid w:val="00B172BA"/>
    <w:rsid w:val="00B17B36"/>
    <w:rsid w:val="00B2034A"/>
    <w:rsid w:val="00B2097F"/>
    <w:rsid w:val="00B22512"/>
    <w:rsid w:val="00B23268"/>
    <w:rsid w:val="00B244A2"/>
    <w:rsid w:val="00B277C1"/>
    <w:rsid w:val="00B3323E"/>
    <w:rsid w:val="00B342DE"/>
    <w:rsid w:val="00B34F9B"/>
    <w:rsid w:val="00B36F96"/>
    <w:rsid w:val="00B42022"/>
    <w:rsid w:val="00B459FB"/>
    <w:rsid w:val="00B50249"/>
    <w:rsid w:val="00B50840"/>
    <w:rsid w:val="00B54994"/>
    <w:rsid w:val="00B5539B"/>
    <w:rsid w:val="00B574DB"/>
    <w:rsid w:val="00B60816"/>
    <w:rsid w:val="00B60C8A"/>
    <w:rsid w:val="00B610A6"/>
    <w:rsid w:val="00B63FF0"/>
    <w:rsid w:val="00B6498C"/>
    <w:rsid w:val="00B70F05"/>
    <w:rsid w:val="00B76C5D"/>
    <w:rsid w:val="00B77E6E"/>
    <w:rsid w:val="00B809BA"/>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C289B"/>
    <w:rsid w:val="00BD100A"/>
    <w:rsid w:val="00BD119E"/>
    <w:rsid w:val="00BD1BD8"/>
    <w:rsid w:val="00BD1D83"/>
    <w:rsid w:val="00BD4B19"/>
    <w:rsid w:val="00BD4D60"/>
    <w:rsid w:val="00BD719F"/>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7D71"/>
    <w:rsid w:val="00C20C6E"/>
    <w:rsid w:val="00C2130B"/>
    <w:rsid w:val="00C21371"/>
    <w:rsid w:val="00C21495"/>
    <w:rsid w:val="00C23AC6"/>
    <w:rsid w:val="00C23E97"/>
    <w:rsid w:val="00C25578"/>
    <w:rsid w:val="00C26CB0"/>
    <w:rsid w:val="00C360FE"/>
    <w:rsid w:val="00C4213E"/>
    <w:rsid w:val="00C44D73"/>
    <w:rsid w:val="00C47105"/>
    <w:rsid w:val="00C47560"/>
    <w:rsid w:val="00C4784C"/>
    <w:rsid w:val="00C526B4"/>
    <w:rsid w:val="00C52E81"/>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B2A70"/>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0F3D"/>
    <w:rsid w:val="00E63A24"/>
    <w:rsid w:val="00E63BED"/>
    <w:rsid w:val="00E64934"/>
    <w:rsid w:val="00E649D8"/>
    <w:rsid w:val="00E6569A"/>
    <w:rsid w:val="00E6694F"/>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5BD9"/>
    <w:rsid w:val="00E97D4D"/>
    <w:rsid w:val="00EA1731"/>
    <w:rsid w:val="00EA1BCB"/>
    <w:rsid w:val="00EA510A"/>
    <w:rsid w:val="00EB0F58"/>
    <w:rsid w:val="00EB22B0"/>
    <w:rsid w:val="00EB4528"/>
    <w:rsid w:val="00EB4987"/>
    <w:rsid w:val="00EB5A25"/>
    <w:rsid w:val="00EB7E47"/>
    <w:rsid w:val="00EC0720"/>
    <w:rsid w:val="00EC1F01"/>
    <w:rsid w:val="00EC7309"/>
    <w:rsid w:val="00ED2461"/>
    <w:rsid w:val="00ED6959"/>
    <w:rsid w:val="00ED7C5D"/>
    <w:rsid w:val="00EE0AAC"/>
    <w:rsid w:val="00EE0F8E"/>
    <w:rsid w:val="00EE2D8D"/>
    <w:rsid w:val="00EE4A7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4601"/>
    <w:rsid w:val="00F1497B"/>
    <w:rsid w:val="00F1511F"/>
    <w:rsid w:val="00F15308"/>
    <w:rsid w:val="00F1542E"/>
    <w:rsid w:val="00F16121"/>
    <w:rsid w:val="00F17477"/>
    <w:rsid w:val="00F240C3"/>
    <w:rsid w:val="00F2510E"/>
    <w:rsid w:val="00F26717"/>
    <w:rsid w:val="00F2757A"/>
    <w:rsid w:val="00F30019"/>
    <w:rsid w:val="00F319E1"/>
    <w:rsid w:val="00F3325C"/>
    <w:rsid w:val="00F33507"/>
    <w:rsid w:val="00F3405A"/>
    <w:rsid w:val="00F340CE"/>
    <w:rsid w:val="00F34AE8"/>
    <w:rsid w:val="00F37A92"/>
    <w:rsid w:val="00F41A59"/>
    <w:rsid w:val="00F4489F"/>
    <w:rsid w:val="00F46BDF"/>
    <w:rsid w:val="00F47FCF"/>
    <w:rsid w:val="00F500A4"/>
    <w:rsid w:val="00F50AE7"/>
    <w:rsid w:val="00F51791"/>
    <w:rsid w:val="00F560DB"/>
    <w:rsid w:val="00F57C1D"/>
    <w:rsid w:val="00F60672"/>
    <w:rsid w:val="00F6076D"/>
    <w:rsid w:val="00F61A6A"/>
    <w:rsid w:val="00F61AFB"/>
    <w:rsid w:val="00F62920"/>
    <w:rsid w:val="00F666CA"/>
    <w:rsid w:val="00F7142F"/>
    <w:rsid w:val="00F7275B"/>
    <w:rsid w:val="00F75A5D"/>
    <w:rsid w:val="00F7689C"/>
    <w:rsid w:val="00F800CB"/>
    <w:rsid w:val="00F80661"/>
    <w:rsid w:val="00F8212D"/>
    <w:rsid w:val="00F84049"/>
    <w:rsid w:val="00F93D1B"/>
    <w:rsid w:val="00F94848"/>
    <w:rsid w:val="00F95E09"/>
    <w:rsid w:val="00F9704E"/>
    <w:rsid w:val="00FA61FC"/>
    <w:rsid w:val="00FA6673"/>
    <w:rsid w:val="00FA6FBF"/>
    <w:rsid w:val="00FB272A"/>
    <w:rsid w:val="00FB3BE3"/>
    <w:rsid w:val="00FB42F8"/>
    <w:rsid w:val="00FB4359"/>
    <w:rsid w:val="00FB47CC"/>
    <w:rsid w:val="00FB4C97"/>
    <w:rsid w:val="00FB508E"/>
    <w:rsid w:val="00FB5469"/>
    <w:rsid w:val="00FC1898"/>
    <w:rsid w:val="00FC6AFF"/>
    <w:rsid w:val="00FD07A4"/>
    <w:rsid w:val="00FD32E4"/>
    <w:rsid w:val="00FD6030"/>
    <w:rsid w:val="00FD743D"/>
    <w:rsid w:val="00FE04EE"/>
    <w:rsid w:val="00FE13E2"/>
    <w:rsid w:val="00FE42E5"/>
    <w:rsid w:val="00FE66B1"/>
    <w:rsid w:val="00FE769B"/>
    <w:rsid w:val="00FF146D"/>
    <w:rsid w:val="00FF2104"/>
    <w:rsid w:val="00FF3B47"/>
    <w:rsid w:val="00FF41B3"/>
    <w:rsid w:val="00FF516D"/>
    <w:rsid w:val="00FF5DC4"/>
    <w:rsid w:val="00FF6F4B"/>
    <w:rsid w:val="00FF7CBD"/>
    <w:rsid w:val="028A47A4"/>
    <w:rsid w:val="04BF76C3"/>
    <w:rsid w:val="07916DD7"/>
    <w:rsid w:val="08034DCD"/>
    <w:rsid w:val="140D5482"/>
    <w:rsid w:val="15C66F5C"/>
    <w:rsid w:val="189701E7"/>
    <w:rsid w:val="1C7D6723"/>
    <w:rsid w:val="28905AFA"/>
    <w:rsid w:val="2A5B66CC"/>
    <w:rsid w:val="2E892AD4"/>
    <w:rsid w:val="34A072BA"/>
    <w:rsid w:val="3E3562FE"/>
    <w:rsid w:val="3E5666A0"/>
    <w:rsid w:val="40123EF5"/>
    <w:rsid w:val="41D76207"/>
    <w:rsid w:val="44A741DA"/>
    <w:rsid w:val="44E61CD9"/>
    <w:rsid w:val="52273561"/>
    <w:rsid w:val="53D26312"/>
    <w:rsid w:val="54B23402"/>
    <w:rsid w:val="55010C5F"/>
    <w:rsid w:val="55951A8F"/>
    <w:rsid w:val="576867BA"/>
    <w:rsid w:val="5D741AE3"/>
    <w:rsid w:val="5E181782"/>
    <w:rsid w:val="61581554"/>
    <w:rsid w:val="710806CF"/>
    <w:rsid w:val="71954579"/>
    <w:rsid w:val="77C70E42"/>
    <w:rsid w:val="7C26103C"/>
    <w:rsid w:val="7FBB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8"/>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lang w:val="zh-CN"/>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64"/>
    <w:qFormat/>
    <w:uiPriority w:val="99"/>
    <w:pPr>
      <w:tabs>
        <w:tab w:val="center" w:pos="4153"/>
        <w:tab w:val="right" w:pos="8306"/>
      </w:tabs>
      <w:snapToGrid w:val="0"/>
      <w:jc w:val="left"/>
    </w:pPr>
    <w:rPr>
      <w:sz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pPr>
    <w:rPr>
      <w:sz w:val="22"/>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toc 2"/>
    <w:basedOn w:val="1"/>
    <w:next w:val="1"/>
    <w:qFormat/>
    <w:uiPriority w:val="0"/>
    <w:pPr>
      <w:ind w:left="240"/>
    </w:pPr>
    <w:rPr>
      <w:sz w:val="22"/>
    </w:rPr>
  </w:style>
  <w:style w:type="paragraph" w:styleId="1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link w:val="30"/>
    <w:qFormat/>
    <w:uiPriority w:val="0"/>
    <w:pPr>
      <w:spacing w:before="240" w:after="60"/>
      <w:jc w:val="center"/>
      <w:outlineLvl w:val="0"/>
    </w:pPr>
    <w:rPr>
      <w:rFonts w:ascii="Cambria" w:hAnsi="Cambria"/>
      <w:b/>
      <w:sz w:val="32"/>
      <w:lang w:val="zh-CN"/>
    </w:rPr>
  </w:style>
  <w:style w:type="paragraph" w:styleId="21">
    <w:name w:val="annotation subject"/>
    <w:basedOn w:val="7"/>
    <w:next w:val="7"/>
    <w:qFormat/>
    <w:uiPriority w:val="0"/>
    <w:rPr>
      <w:b/>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lang w:val="zh-CN" w:eastAsia="zh-CN"/>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20"/>
    <w:qFormat/>
    <w:uiPriority w:val="0"/>
    <w:rPr>
      <w:rFonts w:ascii="Cambria" w:hAnsi="Cambria"/>
      <w:b/>
      <w:kern w:val="2"/>
      <w:sz w:val="32"/>
      <w:lang w:val="zh-CN" w:eastAsia="zh-CN"/>
    </w:rPr>
  </w:style>
  <w:style w:type="character" w:customStyle="1" w:styleId="31">
    <w:name w:val="页眉 字符"/>
    <w:link w:val="14"/>
    <w:qFormat/>
    <w:uiPriority w:val="99"/>
    <w:rPr>
      <w:kern w:val="2"/>
      <w:sz w:val="18"/>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numPr>
        <w:ilvl w:val="0"/>
        <w:numId w:val="1"/>
      </w:numPr>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78"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_0"/>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标题 1 字符"/>
    <w:link w:val="2"/>
    <w:qFormat/>
    <w:uiPriority w:val="0"/>
    <w:rPr>
      <w:rFonts w:ascii="宋体"/>
      <w:b/>
      <w:color w:val="000000"/>
      <w:sz w:val="24"/>
    </w:rPr>
  </w:style>
  <w:style w:type="character" w:customStyle="1" w:styleId="48">
    <w:name w:val="批注文字 字符"/>
    <w:link w:val="7"/>
    <w:qFormat/>
    <w:uiPriority w:val="0"/>
    <w:rPr>
      <w:kern w:val="2"/>
      <w:sz w:val="21"/>
    </w:rPr>
  </w:style>
  <w:style w:type="paragraph" w:customStyle="1" w:styleId="49">
    <w:name w:val="Char Char_0"/>
    <w:basedOn w:val="1"/>
    <w:qFormat/>
    <w:uiPriority w:val="0"/>
  </w:style>
  <w:style w:type="paragraph" w:customStyle="1" w:styleId="50">
    <w:name w:val="Char Char_1"/>
    <w:basedOn w:val="1"/>
    <w:qFormat/>
    <w:uiPriority w:val="0"/>
  </w:style>
  <w:style w:type="paragraph" w:customStyle="1" w:styleId="51">
    <w:name w:val="Char_1"/>
    <w:basedOn w:val="1"/>
    <w:qFormat/>
    <w:uiPriority w:val="0"/>
  </w:style>
  <w:style w:type="paragraph" w:customStyle="1" w:styleId="52">
    <w:name w:val="Char Char Char_0"/>
    <w:basedOn w:val="1"/>
    <w:qFormat/>
    <w:uiPriority w:val="0"/>
  </w:style>
  <w:style w:type="paragraph" w:customStyle="1" w:styleId="53">
    <w:name w:val="Char Char Char Char_0"/>
    <w:basedOn w:val="1"/>
    <w:qFormat/>
    <w:uiPriority w:val="0"/>
    <w:pPr>
      <w:tabs>
        <w:tab w:val="left" w:pos="360"/>
      </w:tabs>
    </w:pPr>
  </w:style>
  <w:style w:type="paragraph" w:customStyle="1" w:styleId="54">
    <w:name w:val="Char Char1_0"/>
    <w:basedOn w:val="1"/>
    <w:qFormat/>
    <w:uiPriority w:val="0"/>
  </w:style>
  <w:style w:type="paragraph" w:customStyle="1" w:styleId="55">
    <w:name w:val="Char Char_2"/>
    <w:basedOn w:val="1"/>
    <w:qFormat/>
    <w:uiPriority w:val="0"/>
  </w:style>
  <w:style w:type="paragraph" w:styleId="56">
    <w:name w:val="List Paragraph"/>
    <w:basedOn w:val="1"/>
    <w:qFormat/>
    <w:uiPriority w:val="34"/>
    <w:pPr>
      <w:ind w:firstLine="420" w:firstLineChars="200"/>
    </w:pPr>
  </w:style>
  <w:style w:type="paragraph" w:customStyle="1" w:styleId="57">
    <w:name w:val="Char Char1_1"/>
    <w:basedOn w:val="1"/>
    <w:qFormat/>
    <w:uiPriority w:val="0"/>
  </w:style>
  <w:style w:type="paragraph" w:customStyle="1" w:styleId="58">
    <w:name w:val="Char_2"/>
    <w:basedOn w:val="1"/>
    <w:qFormat/>
    <w:uiPriority w:val="0"/>
  </w:style>
  <w:style w:type="paragraph" w:customStyle="1" w:styleId="59">
    <w:name w:val="Char Char1_2"/>
    <w:basedOn w:val="1"/>
    <w:qFormat/>
    <w:uiPriority w:val="0"/>
  </w:style>
  <w:style w:type="paragraph" w:customStyle="1" w:styleId="60">
    <w:name w:val="Char_3"/>
    <w:basedOn w:val="1"/>
    <w:qFormat/>
    <w:uiPriority w:val="0"/>
  </w:style>
  <w:style w:type="paragraph" w:customStyle="1" w:styleId="61">
    <w:name w:val="Char Char1_3"/>
    <w:basedOn w:val="1"/>
    <w:qFormat/>
    <w:uiPriority w:val="0"/>
  </w:style>
  <w:style w:type="paragraph" w:customStyle="1" w:styleId="62">
    <w:name w:val="Char_4"/>
    <w:basedOn w:val="1"/>
    <w:qFormat/>
    <w:uiPriority w:val="0"/>
  </w:style>
  <w:style w:type="paragraph" w:customStyle="1" w:styleId="63">
    <w:name w:val="Char Char_3"/>
    <w:basedOn w:val="1"/>
    <w:qFormat/>
    <w:uiPriority w:val="0"/>
  </w:style>
  <w:style w:type="character" w:customStyle="1" w:styleId="64">
    <w:name w:val="页脚 字符"/>
    <w:basedOn w:val="23"/>
    <w:link w:val="13"/>
    <w:qFormat/>
    <w:uiPriority w:val="99"/>
    <w:rPr>
      <w:kern w:val="2"/>
      <w:sz w:val="18"/>
    </w:rPr>
  </w:style>
  <w:style w:type="paragraph" w:customStyle="1" w:styleId="65">
    <w:name w:val="div"/>
    <w:basedOn w:val="1"/>
    <w:qFormat/>
    <w:uiPriority w:val="0"/>
  </w:style>
  <w:style w:type="character" w:customStyle="1" w:styleId="66">
    <w:name w:val="custom"/>
    <w:basedOn w:val="23"/>
    <w:qFormat/>
    <w:uiPriority w:val="0"/>
  </w:style>
  <w:style w:type="character" w:customStyle="1" w:styleId="67">
    <w:name w:val="custom11"/>
    <w:basedOn w:val="23"/>
    <w:qFormat/>
    <w:uiPriority w:val="0"/>
  </w:style>
  <w:style w:type="character" w:customStyle="1" w:styleId="68">
    <w:name w:val="div Character"/>
    <w:basedOn w:val="23"/>
    <w:qFormat/>
    <w:uiPriority w:val="0"/>
  </w:style>
  <w:style w:type="character" w:customStyle="1" w:styleId="69">
    <w:name w:val="serial-tag"/>
    <w:basedOn w:val="23"/>
    <w:qFormat/>
    <w:uiPriority w:val="0"/>
  </w:style>
  <w:style w:type="paragraph" w:customStyle="1" w:styleId="70">
    <w:name w:val="p"/>
    <w:basedOn w:val="1"/>
    <w:qFormat/>
    <w:uiPriority w:val="0"/>
  </w:style>
  <w:style w:type="character" w:customStyle="1" w:styleId="71">
    <w:name w:val="custom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110</Pages>
  <Words>8009</Words>
  <Characters>45652</Characters>
  <Lines>380</Lines>
  <Paragraphs>107</Paragraphs>
  <TotalTime>2</TotalTime>
  <ScaleCrop>false</ScaleCrop>
  <LinksUpToDate>false</LinksUpToDate>
  <CharactersWithSpaces>53554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2020-07-09T02:06:00Z</dcterms:created>
  <dc:creator>wangxinghan</dc:creator>
  <cp:lastModifiedBy>杨雪菲-国金托管</cp:lastModifiedBy>
  <cp:lastPrinted>2020-07-16T11:58:00Z</cp:lastPrinted>
  <dcterms:modified xsi:type="dcterms:W3CDTF">2026-02-11T03:09:54Z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9EE8A94E15B6452E93B720DBC5BD9B82_13</vt:lpwstr>
  </property>
</Properties>
</file>