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50DD4"/>
    <w:p w14:paraId="4D50A998">
      <w:pPr>
        <w:spacing w:after="156" w:line="500" w:lineRule="exact"/>
        <w:rPr>
          <w:rFonts w:ascii="宋体"/>
          <w:b/>
          <w:bCs/>
          <w:sz w:val="48"/>
          <w:szCs w:val="48"/>
        </w:rPr>
      </w:pPr>
    </w:p>
    <w:p w14:paraId="739EBFBD">
      <w:pPr>
        <w:spacing w:after="156" w:line="500" w:lineRule="exact"/>
        <w:jc w:val="center"/>
        <w:rPr>
          <w:rFonts w:ascii="宋体"/>
          <w:b/>
          <w:bCs/>
          <w:sz w:val="48"/>
          <w:szCs w:val="48"/>
        </w:rPr>
      </w:pPr>
    </w:p>
    <w:p w14:paraId="6C7767BC">
      <w:pPr>
        <w:spacing w:after="156" w:line="500" w:lineRule="exact"/>
        <w:jc w:val="center"/>
        <w:rPr>
          <w:rFonts w:ascii="宋体"/>
          <w:b/>
          <w:bCs/>
          <w:sz w:val="48"/>
          <w:szCs w:val="48"/>
        </w:rPr>
      </w:pPr>
    </w:p>
    <w:p w14:paraId="0906F3CC">
      <w:pPr>
        <w:spacing w:after="156" w:line="500" w:lineRule="exact"/>
        <w:jc w:val="center"/>
        <w:rPr>
          <w:rFonts w:ascii="宋体"/>
          <w:b/>
          <w:bCs/>
          <w:sz w:val="48"/>
          <w:szCs w:val="48"/>
        </w:rPr>
      </w:pPr>
    </w:p>
    <w:p w14:paraId="790A7E15">
      <w:pPr>
        <w:spacing w:after="156" w:line="500" w:lineRule="exact"/>
        <w:jc w:val="center"/>
        <w:rPr>
          <w:rFonts w:ascii="宋体"/>
          <w:b/>
          <w:bCs/>
          <w:sz w:val="48"/>
          <w:szCs w:val="48"/>
        </w:rPr>
      </w:pPr>
    </w:p>
    <w:p w14:paraId="095FA2FE">
      <w:pPr>
        <w:spacing w:after="156" w:line="360" w:lineRule="auto"/>
        <w:jc w:val="center"/>
        <w:rPr>
          <w:rFonts w:hint="eastAsia" w:ascii="宋体" w:hAnsi="宋体" w:eastAsia="宋体"/>
          <w:b/>
          <w:bCs/>
          <w:sz w:val="48"/>
          <w:szCs w:val="48"/>
          <w:lang w:eastAsia="zh-CN"/>
        </w:rPr>
      </w:pPr>
      <w:r>
        <w:rPr>
          <w:rFonts w:hint="eastAsia" w:ascii="宋体" w:hAnsi="宋体"/>
          <w:b/>
          <w:bCs/>
          <w:sz w:val="48"/>
          <w:szCs w:val="48"/>
          <w:lang w:eastAsia="zh-CN"/>
        </w:rPr>
        <w:t>汇添富中证家电龙头交易型开放式指数证券投资基金</w:t>
      </w:r>
    </w:p>
    <w:p w14:paraId="6AE10188">
      <w:pPr>
        <w:spacing w:after="156" w:line="360" w:lineRule="auto"/>
        <w:jc w:val="center"/>
        <w:rPr>
          <w:rFonts w:ascii="宋体" w:hAnsi="宋体"/>
          <w:b/>
          <w:bCs/>
          <w:sz w:val="48"/>
          <w:szCs w:val="48"/>
        </w:rPr>
      </w:pPr>
      <w:r>
        <w:rPr>
          <w:rFonts w:ascii="宋体" w:hAnsi="宋体"/>
          <w:b/>
          <w:bCs/>
          <w:sz w:val="48"/>
          <w:szCs w:val="48"/>
        </w:rPr>
        <w:t>托管协议</w:t>
      </w:r>
    </w:p>
    <w:p w14:paraId="7B917981">
      <w:pPr>
        <w:spacing w:after="156" w:line="500" w:lineRule="exact"/>
        <w:jc w:val="center"/>
        <w:rPr>
          <w:rFonts w:ascii="宋体"/>
          <w:bCs/>
          <w:sz w:val="44"/>
          <w:szCs w:val="44"/>
        </w:rPr>
      </w:pPr>
    </w:p>
    <w:p w14:paraId="0F49C7DB">
      <w:pPr>
        <w:autoSpaceDE w:val="0"/>
        <w:autoSpaceDN w:val="0"/>
        <w:spacing w:line="360" w:lineRule="auto"/>
        <w:ind w:left="4709" w:right="24" w:rightChars="12" w:hanging="4709" w:hangingChars="1066"/>
        <w:jc w:val="center"/>
        <w:rPr>
          <w:rFonts w:ascii="宋体"/>
          <w:b/>
          <w:bCs/>
          <w:sz w:val="44"/>
        </w:rPr>
      </w:pPr>
    </w:p>
    <w:p w14:paraId="2F65D569">
      <w:pPr>
        <w:spacing w:line="360" w:lineRule="auto"/>
        <w:jc w:val="center"/>
        <w:rPr>
          <w:rFonts w:ascii="宋体"/>
          <w:b/>
          <w:sz w:val="30"/>
          <w:szCs w:val="30"/>
        </w:rPr>
      </w:pPr>
    </w:p>
    <w:p w14:paraId="3C3E0F41">
      <w:pPr>
        <w:spacing w:line="360" w:lineRule="auto"/>
        <w:jc w:val="center"/>
        <w:rPr>
          <w:rFonts w:ascii="宋体"/>
          <w:b/>
          <w:sz w:val="30"/>
          <w:szCs w:val="30"/>
        </w:rPr>
      </w:pPr>
    </w:p>
    <w:p w14:paraId="51A48F0B">
      <w:pPr>
        <w:spacing w:line="360" w:lineRule="auto"/>
        <w:jc w:val="center"/>
        <w:rPr>
          <w:rFonts w:ascii="宋体"/>
          <w:b/>
          <w:sz w:val="30"/>
          <w:szCs w:val="30"/>
        </w:rPr>
      </w:pPr>
    </w:p>
    <w:p w14:paraId="5874D716">
      <w:pPr>
        <w:spacing w:line="360" w:lineRule="auto"/>
        <w:jc w:val="center"/>
        <w:rPr>
          <w:rFonts w:ascii="宋体"/>
          <w:b/>
          <w:sz w:val="30"/>
          <w:szCs w:val="30"/>
        </w:rPr>
      </w:pPr>
    </w:p>
    <w:p w14:paraId="29DE9C0C">
      <w:pPr>
        <w:spacing w:line="360" w:lineRule="auto"/>
        <w:jc w:val="center"/>
        <w:rPr>
          <w:rFonts w:ascii="宋体"/>
          <w:b/>
          <w:sz w:val="30"/>
          <w:szCs w:val="30"/>
        </w:rPr>
      </w:pPr>
    </w:p>
    <w:p w14:paraId="23A6C581">
      <w:pPr>
        <w:spacing w:line="360" w:lineRule="auto"/>
        <w:jc w:val="center"/>
        <w:rPr>
          <w:rFonts w:ascii="宋体"/>
          <w:b/>
          <w:sz w:val="30"/>
          <w:szCs w:val="30"/>
        </w:rPr>
      </w:pPr>
    </w:p>
    <w:p w14:paraId="39D33197">
      <w:pPr>
        <w:spacing w:line="360" w:lineRule="auto"/>
        <w:rPr>
          <w:rFonts w:ascii="宋体"/>
          <w:b/>
          <w:sz w:val="30"/>
          <w:szCs w:val="30"/>
        </w:rPr>
      </w:pPr>
    </w:p>
    <w:p w14:paraId="68E7CD1B">
      <w:pPr>
        <w:spacing w:after="156" w:line="500" w:lineRule="exact"/>
        <w:ind w:left="1028" w:leftChars="514"/>
        <w:rPr>
          <w:rFonts w:ascii="宋体"/>
          <w:b/>
          <w:bCs/>
          <w:sz w:val="36"/>
          <w:szCs w:val="36"/>
        </w:rPr>
      </w:pPr>
      <w:r>
        <w:rPr>
          <w:rFonts w:ascii="宋体" w:hAnsi="宋体"/>
          <w:b/>
          <w:bCs/>
          <w:sz w:val="36"/>
          <w:szCs w:val="36"/>
        </w:rPr>
        <w:t>基金管理人：汇添富基金管理股份有限公司</w:t>
      </w:r>
    </w:p>
    <w:p w14:paraId="2AA97BC6">
      <w:pPr>
        <w:ind w:left="1028" w:leftChars="514"/>
        <w:rPr>
          <w:rFonts w:hint="eastAsia" w:ascii="宋体" w:eastAsia="宋体"/>
          <w:lang w:eastAsia="zh-CN"/>
        </w:rPr>
      </w:pPr>
      <w:r>
        <w:rPr>
          <w:rFonts w:ascii="宋体" w:hAnsi="宋体"/>
          <w:b/>
          <w:bCs/>
          <w:sz w:val="36"/>
          <w:szCs w:val="36"/>
        </w:rPr>
        <w:t>基金托管人：</w:t>
      </w:r>
      <w:r>
        <w:rPr>
          <w:rFonts w:hint="eastAsia" w:ascii="宋体" w:hAnsi="宋体"/>
          <w:b/>
          <w:bCs/>
          <w:sz w:val="36"/>
          <w:szCs w:val="36"/>
          <w:lang w:eastAsia="zh-CN"/>
        </w:rPr>
        <w:t>国金证券股份有限公司</w:t>
      </w:r>
    </w:p>
    <w:p w14:paraId="7759B93E">
      <w:pPr>
        <w:ind w:left="1028" w:leftChars="514"/>
        <w:sectPr>
          <w:footerReference r:id="rId5" w:type="first"/>
          <w:headerReference r:id="rId3" w:type="default"/>
          <w:footerReference r:id="rId4" w:type="even"/>
          <w:pgSz w:w="11906" w:h="16838"/>
          <w:pgMar w:top="1440" w:right="1800" w:bottom="1440" w:left="1800" w:header="851" w:footer="992" w:gutter="0"/>
          <w:pgNumType w:start="1"/>
          <w:cols w:space="720" w:num="1"/>
          <w:docGrid w:type="lines" w:linePitch="312" w:charSpace="0"/>
        </w:sectPr>
      </w:pPr>
    </w:p>
    <w:p w14:paraId="767CE388">
      <w:pPr>
        <w:spacing w:before="312" w:after="156" w:line="360" w:lineRule="auto"/>
        <w:jc w:val="center"/>
        <w:rPr>
          <w:rFonts w:ascii="宋体"/>
          <w:b/>
          <w:sz w:val="44"/>
          <w:szCs w:val="44"/>
        </w:rPr>
      </w:pPr>
      <w:r>
        <w:rPr>
          <w:rFonts w:ascii="宋体" w:hAnsi="宋体"/>
          <w:b/>
          <w:sz w:val="44"/>
          <w:szCs w:val="44"/>
        </w:rPr>
        <w:t>目  录</w:t>
      </w:r>
    </w:p>
    <w:p w14:paraId="2C807044">
      <w:pPr>
        <w:pStyle w:val="25"/>
        <w:rPr>
          <w:rFonts w:ascii="Calibri" w:hAnsi="Calibri"/>
          <w:b w:val="0"/>
          <w:caps w:val="0"/>
          <w:sz w:val="24"/>
          <w:szCs w:val="24"/>
        </w:rPr>
      </w:pPr>
      <w:r>
        <w:rPr>
          <w:rStyle w:val="41"/>
          <w:rFonts w:ascii="宋体" w:hAnsi="宋体"/>
          <w:bCs/>
          <w:color w:val="000000"/>
          <w:sz w:val="32"/>
          <w:szCs w:val="32"/>
        </w:rPr>
        <w:fldChar w:fldCharType="begin"/>
      </w:r>
      <w:r>
        <w:rPr>
          <w:rStyle w:val="41"/>
          <w:rFonts w:ascii="宋体" w:hAnsi="宋体"/>
          <w:bCs/>
          <w:color w:val="000000"/>
          <w:sz w:val="32"/>
          <w:szCs w:val="32"/>
        </w:rPr>
        <w:instrText xml:space="preserve"> TOC \h \z \t "标题 1,1" </w:instrText>
      </w:r>
      <w:r>
        <w:rPr>
          <w:rStyle w:val="41"/>
          <w:rFonts w:ascii="宋体" w:hAnsi="宋体"/>
          <w:bCs/>
          <w:color w:val="000000"/>
          <w:sz w:val="32"/>
          <w:szCs w:val="32"/>
        </w:rPr>
        <w:fldChar w:fldCharType="separate"/>
      </w:r>
      <w:r>
        <w:fldChar w:fldCharType="begin"/>
      </w:r>
      <w:r>
        <w:instrText xml:space="preserve"> HYPERLINK \l "_Toc65162000" </w:instrText>
      </w:r>
      <w:r>
        <w:fldChar w:fldCharType="separate"/>
      </w:r>
      <w:r>
        <w:rPr>
          <w:rStyle w:val="41"/>
          <w:sz w:val="24"/>
          <w:szCs w:val="24"/>
        </w:rPr>
        <w:t>一、基金托管协议当事人</w:t>
      </w:r>
      <w:r>
        <w:rPr>
          <w:sz w:val="24"/>
          <w:szCs w:val="24"/>
        </w:rPr>
        <w:tab/>
      </w:r>
      <w:r>
        <w:rPr>
          <w:sz w:val="24"/>
          <w:szCs w:val="24"/>
        </w:rPr>
        <w:fldChar w:fldCharType="begin"/>
      </w:r>
      <w:r>
        <w:rPr>
          <w:sz w:val="24"/>
          <w:szCs w:val="24"/>
        </w:rPr>
        <w:instrText xml:space="preserve"> PAGEREF _Toc65162000 \h </w:instrText>
      </w:r>
      <w:r>
        <w:rPr>
          <w:sz w:val="24"/>
          <w:szCs w:val="24"/>
        </w:rPr>
        <w:fldChar w:fldCharType="separate"/>
      </w:r>
      <w:r>
        <w:rPr>
          <w:sz w:val="24"/>
          <w:szCs w:val="24"/>
        </w:rPr>
        <w:t>3</w:t>
      </w:r>
      <w:r>
        <w:rPr>
          <w:sz w:val="24"/>
          <w:szCs w:val="24"/>
        </w:rPr>
        <w:fldChar w:fldCharType="end"/>
      </w:r>
      <w:r>
        <w:rPr>
          <w:sz w:val="24"/>
          <w:szCs w:val="24"/>
        </w:rPr>
        <w:fldChar w:fldCharType="end"/>
      </w:r>
    </w:p>
    <w:p w14:paraId="5592F03B">
      <w:pPr>
        <w:pStyle w:val="25"/>
        <w:rPr>
          <w:rFonts w:ascii="Calibri" w:hAnsi="Calibri"/>
          <w:b w:val="0"/>
          <w:caps w:val="0"/>
          <w:sz w:val="24"/>
          <w:szCs w:val="24"/>
        </w:rPr>
      </w:pPr>
      <w:r>
        <w:fldChar w:fldCharType="begin"/>
      </w:r>
      <w:r>
        <w:instrText xml:space="preserve"> HYPERLINK \l "_Toc65162001" </w:instrText>
      </w:r>
      <w:r>
        <w:fldChar w:fldCharType="separate"/>
      </w:r>
      <w:r>
        <w:rPr>
          <w:rStyle w:val="41"/>
          <w:sz w:val="24"/>
          <w:szCs w:val="24"/>
        </w:rPr>
        <w:t>二、基金托管协议的依据、目的</w:t>
      </w:r>
      <w:bookmarkStart w:id="130" w:name="_GoBack"/>
      <w:bookmarkEnd w:id="130"/>
      <w:r>
        <w:rPr>
          <w:rStyle w:val="41"/>
          <w:sz w:val="24"/>
          <w:szCs w:val="24"/>
        </w:rPr>
        <w:t>和原则</w:t>
      </w:r>
      <w:r>
        <w:rPr>
          <w:sz w:val="24"/>
          <w:szCs w:val="24"/>
        </w:rPr>
        <w:tab/>
      </w:r>
      <w:r>
        <w:rPr>
          <w:sz w:val="24"/>
          <w:szCs w:val="24"/>
        </w:rPr>
        <w:fldChar w:fldCharType="begin"/>
      </w:r>
      <w:r>
        <w:rPr>
          <w:sz w:val="24"/>
          <w:szCs w:val="24"/>
        </w:rPr>
        <w:instrText xml:space="preserve"> PAGEREF _Toc65162001 \h </w:instrText>
      </w:r>
      <w:r>
        <w:rPr>
          <w:sz w:val="24"/>
          <w:szCs w:val="24"/>
        </w:rPr>
        <w:fldChar w:fldCharType="separate"/>
      </w:r>
      <w:r>
        <w:rPr>
          <w:sz w:val="24"/>
          <w:szCs w:val="24"/>
        </w:rPr>
        <w:t>3</w:t>
      </w:r>
      <w:r>
        <w:rPr>
          <w:sz w:val="24"/>
          <w:szCs w:val="24"/>
        </w:rPr>
        <w:fldChar w:fldCharType="end"/>
      </w:r>
      <w:r>
        <w:rPr>
          <w:sz w:val="24"/>
          <w:szCs w:val="24"/>
        </w:rPr>
        <w:fldChar w:fldCharType="end"/>
      </w:r>
    </w:p>
    <w:p w14:paraId="65724C8E">
      <w:pPr>
        <w:pStyle w:val="25"/>
        <w:rPr>
          <w:rFonts w:ascii="Calibri" w:hAnsi="Calibri"/>
          <w:b w:val="0"/>
          <w:caps w:val="0"/>
          <w:sz w:val="24"/>
          <w:szCs w:val="24"/>
        </w:rPr>
      </w:pPr>
      <w:r>
        <w:fldChar w:fldCharType="begin"/>
      </w:r>
      <w:r>
        <w:instrText xml:space="preserve"> HYPERLINK \l "_Toc65162002" </w:instrText>
      </w:r>
      <w:r>
        <w:fldChar w:fldCharType="separate"/>
      </w:r>
      <w:r>
        <w:rPr>
          <w:rStyle w:val="41"/>
          <w:sz w:val="24"/>
          <w:szCs w:val="24"/>
        </w:rPr>
        <w:t>三、基金托管人对基金管理人的业务监督和核查</w:t>
      </w:r>
      <w:r>
        <w:rPr>
          <w:sz w:val="24"/>
          <w:szCs w:val="24"/>
        </w:rPr>
        <w:tab/>
      </w:r>
      <w:r>
        <w:rPr>
          <w:sz w:val="24"/>
          <w:szCs w:val="24"/>
        </w:rPr>
        <w:fldChar w:fldCharType="begin"/>
      </w:r>
      <w:r>
        <w:rPr>
          <w:sz w:val="24"/>
          <w:szCs w:val="24"/>
        </w:rPr>
        <w:instrText xml:space="preserve"> PAGEREF _Toc65162002 \h </w:instrText>
      </w:r>
      <w:r>
        <w:rPr>
          <w:sz w:val="24"/>
          <w:szCs w:val="24"/>
        </w:rPr>
        <w:fldChar w:fldCharType="separate"/>
      </w:r>
      <w:r>
        <w:rPr>
          <w:sz w:val="24"/>
          <w:szCs w:val="24"/>
        </w:rPr>
        <w:t>4</w:t>
      </w:r>
      <w:r>
        <w:rPr>
          <w:sz w:val="24"/>
          <w:szCs w:val="24"/>
        </w:rPr>
        <w:fldChar w:fldCharType="end"/>
      </w:r>
      <w:r>
        <w:rPr>
          <w:sz w:val="24"/>
          <w:szCs w:val="24"/>
        </w:rPr>
        <w:fldChar w:fldCharType="end"/>
      </w:r>
    </w:p>
    <w:p w14:paraId="51184ED1">
      <w:pPr>
        <w:pStyle w:val="25"/>
        <w:rPr>
          <w:rFonts w:ascii="Calibri" w:hAnsi="Calibri"/>
          <w:b w:val="0"/>
          <w:caps w:val="0"/>
          <w:sz w:val="24"/>
          <w:szCs w:val="24"/>
        </w:rPr>
      </w:pPr>
      <w:r>
        <w:fldChar w:fldCharType="begin"/>
      </w:r>
      <w:r>
        <w:instrText xml:space="preserve"> HYPERLINK \l "_Toc65162003" </w:instrText>
      </w:r>
      <w:r>
        <w:fldChar w:fldCharType="separate"/>
      </w:r>
      <w:r>
        <w:rPr>
          <w:rStyle w:val="41"/>
          <w:sz w:val="24"/>
          <w:szCs w:val="24"/>
        </w:rPr>
        <w:t>四、基金管理人对基金托管人的业务核查</w:t>
      </w:r>
      <w:r>
        <w:rPr>
          <w:sz w:val="24"/>
          <w:szCs w:val="24"/>
        </w:rPr>
        <w:tab/>
      </w:r>
      <w:r>
        <w:rPr>
          <w:sz w:val="24"/>
          <w:szCs w:val="24"/>
        </w:rPr>
        <w:fldChar w:fldCharType="begin"/>
      </w:r>
      <w:r>
        <w:rPr>
          <w:sz w:val="24"/>
          <w:szCs w:val="24"/>
        </w:rPr>
        <w:instrText xml:space="preserve"> PAGEREF _Toc65162003 \h </w:instrText>
      </w:r>
      <w:r>
        <w:rPr>
          <w:sz w:val="24"/>
          <w:szCs w:val="24"/>
        </w:rPr>
        <w:fldChar w:fldCharType="separate"/>
      </w:r>
      <w:r>
        <w:rPr>
          <w:sz w:val="24"/>
          <w:szCs w:val="24"/>
        </w:rPr>
        <w:t>12</w:t>
      </w:r>
      <w:r>
        <w:rPr>
          <w:sz w:val="24"/>
          <w:szCs w:val="24"/>
        </w:rPr>
        <w:fldChar w:fldCharType="end"/>
      </w:r>
      <w:r>
        <w:rPr>
          <w:sz w:val="24"/>
          <w:szCs w:val="24"/>
        </w:rPr>
        <w:fldChar w:fldCharType="end"/>
      </w:r>
    </w:p>
    <w:p w14:paraId="60F37BA1">
      <w:pPr>
        <w:pStyle w:val="25"/>
        <w:rPr>
          <w:rFonts w:ascii="Calibri" w:hAnsi="Calibri"/>
          <w:b w:val="0"/>
          <w:caps w:val="0"/>
          <w:sz w:val="24"/>
          <w:szCs w:val="24"/>
        </w:rPr>
      </w:pPr>
      <w:r>
        <w:fldChar w:fldCharType="begin"/>
      </w:r>
      <w:r>
        <w:instrText xml:space="preserve"> HYPERLINK \l "_Toc65162004" </w:instrText>
      </w:r>
      <w:r>
        <w:fldChar w:fldCharType="separate"/>
      </w:r>
      <w:r>
        <w:rPr>
          <w:rStyle w:val="41"/>
          <w:sz w:val="24"/>
          <w:szCs w:val="24"/>
        </w:rPr>
        <w:t>五、基金财产的保管</w:t>
      </w:r>
      <w:r>
        <w:rPr>
          <w:sz w:val="24"/>
          <w:szCs w:val="24"/>
        </w:rPr>
        <w:tab/>
      </w:r>
      <w:r>
        <w:rPr>
          <w:sz w:val="24"/>
          <w:szCs w:val="24"/>
        </w:rPr>
        <w:fldChar w:fldCharType="begin"/>
      </w:r>
      <w:r>
        <w:rPr>
          <w:sz w:val="24"/>
          <w:szCs w:val="24"/>
        </w:rPr>
        <w:instrText xml:space="preserve"> PAGEREF _Toc65162004 \h </w:instrText>
      </w:r>
      <w:r>
        <w:rPr>
          <w:sz w:val="24"/>
          <w:szCs w:val="24"/>
        </w:rPr>
        <w:fldChar w:fldCharType="separate"/>
      </w:r>
      <w:r>
        <w:rPr>
          <w:sz w:val="24"/>
          <w:szCs w:val="24"/>
        </w:rPr>
        <w:t>12</w:t>
      </w:r>
      <w:r>
        <w:rPr>
          <w:sz w:val="24"/>
          <w:szCs w:val="24"/>
        </w:rPr>
        <w:fldChar w:fldCharType="end"/>
      </w:r>
      <w:r>
        <w:rPr>
          <w:sz w:val="24"/>
          <w:szCs w:val="24"/>
        </w:rPr>
        <w:fldChar w:fldCharType="end"/>
      </w:r>
    </w:p>
    <w:p w14:paraId="7590D132">
      <w:pPr>
        <w:pStyle w:val="25"/>
        <w:rPr>
          <w:rFonts w:ascii="Calibri" w:hAnsi="Calibri"/>
          <w:b w:val="0"/>
          <w:caps w:val="0"/>
          <w:sz w:val="24"/>
          <w:szCs w:val="24"/>
        </w:rPr>
      </w:pPr>
      <w:r>
        <w:fldChar w:fldCharType="begin"/>
      </w:r>
      <w:r>
        <w:instrText xml:space="preserve"> HYPERLINK \l "_Toc65162005" </w:instrText>
      </w:r>
      <w:r>
        <w:fldChar w:fldCharType="separate"/>
      </w:r>
      <w:r>
        <w:rPr>
          <w:rStyle w:val="41"/>
          <w:sz w:val="24"/>
          <w:szCs w:val="24"/>
        </w:rPr>
        <w:t>六、指令的发送、确认和执行</w:t>
      </w:r>
      <w:r>
        <w:rPr>
          <w:sz w:val="24"/>
          <w:szCs w:val="24"/>
        </w:rPr>
        <w:tab/>
      </w:r>
      <w:r>
        <w:rPr>
          <w:sz w:val="24"/>
          <w:szCs w:val="24"/>
        </w:rPr>
        <w:fldChar w:fldCharType="begin"/>
      </w:r>
      <w:r>
        <w:rPr>
          <w:sz w:val="24"/>
          <w:szCs w:val="24"/>
        </w:rPr>
        <w:instrText xml:space="preserve"> PAGEREF _Toc65162005 \h </w:instrText>
      </w:r>
      <w:r>
        <w:rPr>
          <w:sz w:val="24"/>
          <w:szCs w:val="24"/>
        </w:rPr>
        <w:fldChar w:fldCharType="separate"/>
      </w:r>
      <w:r>
        <w:rPr>
          <w:sz w:val="24"/>
          <w:szCs w:val="24"/>
        </w:rPr>
        <w:t>16</w:t>
      </w:r>
      <w:r>
        <w:rPr>
          <w:sz w:val="24"/>
          <w:szCs w:val="24"/>
        </w:rPr>
        <w:fldChar w:fldCharType="end"/>
      </w:r>
      <w:r>
        <w:rPr>
          <w:sz w:val="24"/>
          <w:szCs w:val="24"/>
        </w:rPr>
        <w:fldChar w:fldCharType="end"/>
      </w:r>
    </w:p>
    <w:p w14:paraId="1390C65C">
      <w:pPr>
        <w:pStyle w:val="25"/>
        <w:rPr>
          <w:rFonts w:ascii="Calibri" w:hAnsi="Calibri"/>
          <w:b w:val="0"/>
          <w:caps w:val="0"/>
          <w:sz w:val="24"/>
          <w:szCs w:val="24"/>
        </w:rPr>
      </w:pPr>
      <w:r>
        <w:fldChar w:fldCharType="begin"/>
      </w:r>
      <w:r>
        <w:instrText xml:space="preserve"> HYPERLINK \l "_Toc65162006" </w:instrText>
      </w:r>
      <w:r>
        <w:fldChar w:fldCharType="separate"/>
      </w:r>
      <w:r>
        <w:rPr>
          <w:rStyle w:val="41"/>
          <w:sz w:val="24"/>
          <w:szCs w:val="24"/>
        </w:rPr>
        <w:t>七、交易及清算交收安排</w:t>
      </w:r>
      <w:r>
        <w:rPr>
          <w:sz w:val="24"/>
          <w:szCs w:val="24"/>
        </w:rPr>
        <w:tab/>
      </w:r>
      <w:r>
        <w:rPr>
          <w:sz w:val="24"/>
          <w:szCs w:val="24"/>
        </w:rPr>
        <w:fldChar w:fldCharType="begin"/>
      </w:r>
      <w:r>
        <w:rPr>
          <w:sz w:val="24"/>
          <w:szCs w:val="24"/>
        </w:rPr>
        <w:instrText xml:space="preserve"> PAGEREF _Toc65162006 \h </w:instrText>
      </w:r>
      <w:r>
        <w:rPr>
          <w:sz w:val="24"/>
          <w:szCs w:val="24"/>
        </w:rPr>
        <w:fldChar w:fldCharType="separate"/>
      </w:r>
      <w:r>
        <w:rPr>
          <w:sz w:val="24"/>
          <w:szCs w:val="24"/>
        </w:rPr>
        <w:t>18</w:t>
      </w:r>
      <w:r>
        <w:rPr>
          <w:sz w:val="24"/>
          <w:szCs w:val="24"/>
        </w:rPr>
        <w:fldChar w:fldCharType="end"/>
      </w:r>
      <w:r>
        <w:rPr>
          <w:sz w:val="24"/>
          <w:szCs w:val="24"/>
        </w:rPr>
        <w:fldChar w:fldCharType="end"/>
      </w:r>
    </w:p>
    <w:p w14:paraId="7165D83D">
      <w:pPr>
        <w:pStyle w:val="25"/>
        <w:rPr>
          <w:rFonts w:ascii="Calibri" w:hAnsi="Calibri"/>
          <w:b w:val="0"/>
          <w:caps w:val="0"/>
          <w:sz w:val="24"/>
          <w:szCs w:val="24"/>
        </w:rPr>
      </w:pPr>
      <w:r>
        <w:fldChar w:fldCharType="begin"/>
      </w:r>
      <w:r>
        <w:instrText xml:space="preserve"> HYPERLINK \l "_Toc65162007" </w:instrText>
      </w:r>
      <w:r>
        <w:fldChar w:fldCharType="separate"/>
      </w:r>
      <w:r>
        <w:rPr>
          <w:rStyle w:val="41"/>
          <w:sz w:val="24"/>
          <w:szCs w:val="24"/>
        </w:rPr>
        <w:t>八、基金资产净值计算和会计核算</w:t>
      </w:r>
      <w:r>
        <w:rPr>
          <w:sz w:val="24"/>
          <w:szCs w:val="24"/>
        </w:rPr>
        <w:tab/>
      </w:r>
      <w:r>
        <w:rPr>
          <w:sz w:val="24"/>
          <w:szCs w:val="24"/>
        </w:rPr>
        <w:fldChar w:fldCharType="begin"/>
      </w:r>
      <w:r>
        <w:rPr>
          <w:sz w:val="24"/>
          <w:szCs w:val="24"/>
        </w:rPr>
        <w:instrText xml:space="preserve"> PAGEREF _Toc65162007 \h </w:instrText>
      </w:r>
      <w:r>
        <w:rPr>
          <w:sz w:val="24"/>
          <w:szCs w:val="24"/>
        </w:rPr>
        <w:fldChar w:fldCharType="separate"/>
      </w:r>
      <w:r>
        <w:rPr>
          <w:sz w:val="24"/>
          <w:szCs w:val="24"/>
        </w:rPr>
        <w:t>21</w:t>
      </w:r>
      <w:r>
        <w:rPr>
          <w:sz w:val="24"/>
          <w:szCs w:val="24"/>
        </w:rPr>
        <w:fldChar w:fldCharType="end"/>
      </w:r>
      <w:r>
        <w:rPr>
          <w:sz w:val="24"/>
          <w:szCs w:val="24"/>
        </w:rPr>
        <w:fldChar w:fldCharType="end"/>
      </w:r>
    </w:p>
    <w:p w14:paraId="5C9D50E1">
      <w:pPr>
        <w:pStyle w:val="25"/>
        <w:rPr>
          <w:rFonts w:ascii="Calibri" w:hAnsi="Calibri"/>
          <w:b w:val="0"/>
          <w:caps w:val="0"/>
          <w:sz w:val="24"/>
          <w:szCs w:val="24"/>
        </w:rPr>
      </w:pPr>
      <w:r>
        <w:fldChar w:fldCharType="begin"/>
      </w:r>
      <w:r>
        <w:instrText xml:space="preserve"> HYPERLINK \l "_Toc65162008" </w:instrText>
      </w:r>
      <w:r>
        <w:fldChar w:fldCharType="separate"/>
      </w:r>
      <w:r>
        <w:rPr>
          <w:rStyle w:val="41"/>
          <w:sz w:val="24"/>
          <w:szCs w:val="24"/>
        </w:rPr>
        <w:t>九、基金收益分配</w:t>
      </w:r>
      <w:r>
        <w:rPr>
          <w:sz w:val="24"/>
          <w:szCs w:val="24"/>
        </w:rPr>
        <w:tab/>
      </w:r>
      <w:r>
        <w:rPr>
          <w:sz w:val="24"/>
          <w:szCs w:val="24"/>
        </w:rPr>
        <w:fldChar w:fldCharType="begin"/>
      </w:r>
      <w:r>
        <w:rPr>
          <w:sz w:val="24"/>
          <w:szCs w:val="24"/>
        </w:rPr>
        <w:instrText xml:space="preserve"> PAGEREF _Toc65162008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FB897BE">
      <w:pPr>
        <w:pStyle w:val="25"/>
        <w:rPr>
          <w:rFonts w:ascii="Calibri" w:hAnsi="Calibri"/>
          <w:b w:val="0"/>
          <w:caps w:val="0"/>
          <w:sz w:val="24"/>
          <w:szCs w:val="24"/>
        </w:rPr>
      </w:pPr>
      <w:r>
        <w:fldChar w:fldCharType="begin"/>
      </w:r>
      <w:r>
        <w:instrText xml:space="preserve"> HYPERLINK \l "_Toc65162009" </w:instrText>
      </w:r>
      <w:r>
        <w:fldChar w:fldCharType="separate"/>
      </w:r>
      <w:r>
        <w:rPr>
          <w:rStyle w:val="41"/>
          <w:sz w:val="24"/>
          <w:szCs w:val="24"/>
        </w:rPr>
        <w:t>十、基金信息披露</w:t>
      </w:r>
      <w:r>
        <w:rPr>
          <w:sz w:val="24"/>
          <w:szCs w:val="24"/>
        </w:rPr>
        <w:tab/>
      </w:r>
      <w:r>
        <w:rPr>
          <w:sz w:val="24"/>
          <w:szCs w:val="24"/>
        </w:rPr>
        <w:fldChar w:fldCharType="begin"/>
      </w:r>
      <w:r>
        <w:rPr>
          <w:sz w:val="24"/>
          <w:szCs w:val="24"/>
        </w:rPr>
        <w:instrText xml:space="preserve"> PAGEREF _Toc65162009 \h </w:instrText>
      </w:r>
      <w:r>
        <w:rPr>
          <w:sz w:val="24"/>
          <w:szCs w:val="24"/>
        </w:rPr>
        <w:fldChar w:fldCharType="separate"/>
      </w:r>
      <w:r>
        <w:rPr>
          <w:sz w:val="24"/>
          <w:szCs w:val="24"/>
        </w:rPr>
        <w:t>27</w:t>
      </w:r>
      <w:r>
        <w:rPr>
          <w:sz w:val="24"/>
          <w:szCs w:val="24"/>
        </w:rPr>
        <w:fldChar w:fldCharType="end"/>
      </w:r>
      <w:r>
        <w:rPr>
          <w:sz w:val="24"/>
          <w:szCs w:val="24"/>
        </w:rPr>
        <w:fldChar w:fldCharType="end"/>
      </w:r>
    </w:p>
    <w:p w14:paraId="3950698A">
      <w:pPr>
        <w:pStyle w:val="25"/>
        <w:rPr>
          <w:rFonts w:ascii="Calibri" w:hAnsi="Calibri"/>
          <w:b w:val="0"/>
          <w:caps w:val="0"/>
          <w:sz w:val="24"/>
          <w:szCs w:val="24"/>
        </w:rPr>
      </w:pPr>
      <w:r>
        <w:fldChar w:fldCharType="begin"/>
      </w:r>
      <w:r>
        <w:instrText xml:space="preserve"> HYPERLINK \l "_Toc65162010" </w:instrText>
      </w:r>
      <w:r>
        <w:fldChar w:fldCharType="separate"/>
      </w:r>
      <w:r>
        <w:rPr>
          <w:rStyle w:val="41"/>
          <w:sz w:val="24"/>
          <w:szCs w:val="24"/>
        </w:rPr>
        <w:t>十一、基金费用</w:t>
      </w:r>
      <w:r>
        <w:rPr>
          <w:sz w:val="24"/>
          <w:szCs w:val="24"/>
        </w:rPr>
        <w:tab/>
      </w:r>
      <w:r>
        <w:rPr>
          <w:sz w:val="24"/>
          <w:szCs w:val="24"/>
        </w:rPr>
        <w:fldChar w:fldCharType="begin"/>
      </w:r>
      <w:r>
        <w:rPr>
          <w:sz w:val="24"/>
          <w:szCs w:val="24"/>
        </w:rPr>
        <w:instrText xml:space="preserve"> PAGEREF _Toc65162010 \h </w:instrText>
      </w:r>
      <w:r>
        <w:rPr>
          <w:sz w:val="24"/>
          <w:szCs w:val="24"/>
        </w:rPr>
        <w:fldChar w:fldCharType="separate"/>
      </w:r>
      <w:r>
        <w:rPr>
          <w:sz w:val="24"/>
          <w:szCs w:val="24"/>
        </w:rPr>
        <w:t>28</w:t>
      </w:r>
      <w:r>
        <w:rPr>
          <w:sz w:val="24"/>
          <w:szCs w:val="24"/>
        </w:rPr>
        <w:fldChar w:fldCharType="end"/>
      </w:r>
      <w:r>
        <w:rPr>
          <w:sz w:val="24"/>
          <w:szCs w:val="24"/>
        </w:rPr>
        <w:fldChar w:fldCharType="end"/>
      </w:r>
    </w:p>
    <w:p w14:paraId="75B4ACBE">
      <w:pPr>
        <w:pStyle w:val="25"/>
        <w:rPr>
          <w:rFonts w:ascii="Calibri" w:hAnsi="Calibri"/>
          <w:b w:val="0"/>
          <w:caps w:val="0"/>
          <w:sz w:val="24"/>
          <w:szCs w:val="24"/>
        </w:rPr>
      </w:pPr>
      <w:r>
        <w:fldChar w:fldCharType="begin"/>
      </w:r>
      <w:r>
        <w:instrText xml:space="preserve"> HYPERLINK \l "_Toc65162011" </w:instrText>
      </w:r>
      <w:r>
        <w:fldChar w:fldCharType="separate"/>
      </w:r>
      <w:r>
        <w:rPr>
          <w:rStyle w:val="41"/>
          <w:sz w:val="24"/>
          <w:szCs w:val="24"/>
        </w:rPr>
        <w:t>十二、基金份额持有人名册的保管</w:t>
      </w:r>
      <w:r>
        <w:rPr>
          <w:sz w:val="24"/>
          <w:szCs w:val="24"/>
        </w:rPr>
        <w:tab/>
      </w:r>
      <w:r>
        <w:rPr>
          <w:sz w:val="24"/>
          <w:szCs w:val="24"/>
        </w:rPr>
        <w:fldChar w:fldCharType="begin"/>
      </w:r>
      <w:r>
        <w:rPr>
          <w:sz w:val="24"/>
          <w:szCs w:val="24"/>
        </w:rPr>
        <w:instrText xml:space="preserve"> PAGEREF _Toc65162011 \h </w:instrText>
      </w:r>
      <w:r>
        <w:rPr>
          <w:sz w:val="24"/>
          <w:szCs w:val="24"/>
        </w:rPr>
        <w:fldChar w:fldCharType="separate"/>
      </w:r>
      <w:r>
        <w:rPr>
          <w:sz w:val="24"/>
          <w:szCs w:val="24"/>
        </w:rPr>
        <w:t>30</w:t>
      </w:r>
      <w:r>
        <w:rPr>
          <w:sz w:val="24"/>
          <w:szCs w:val="24"/>
        </w:rPr>
        <w:fldChar w:fldCharType="end"/>
      </w:r>
      <w:r>
        <w:rPr>
          <w:sz w:val="24"/>
          <w:szCs w:val="24"/>
        </w:rPr>
        <w:fldChar w:fldCharType="end"/>
      </w:r>
    </w:p>
    <w:p w14:paraId="3889167C">
      <w:pPr>
        <w:pStyle w:val="25"/>
        <w:rPr>
          <w:rFonts w:ascii="Calibri" w:hAnsi="Calibri"/>
          <w:b w:val="0"/>
          <w:caps w:val="0"/>
          <w:sz w:val="24"/>
          <w:szCs w:val="24"/>
        </w:rPr>
      </w:pPr>
      <w:r>
        <w:fldChar w:fldCharType="begin"/>
      </w:r>
      <w:r>
        <w:instrText xml:space="preserve"> HYPERLINK \l "_Toc65162012" </w:instrText>
      </w:r>
      <w:r>
        <w:fldChar w:fldCharType="separate"/>
      </w:r>
      <w:r>
        <w:rPr>
          <w:rStyle w:val="41"/>
          <w:sz w:val="24"/>
          <w:szCs w:val="24"/>
        </w:rPr>
        <w:t>十三、基金有关文件档案的保存</w:t>
      </w:r>
      <w:r>
        <w:rPr>
          <w:sz w:val="24"/>
          <w:szCs w:val="24"/>
        </w:rPr>
        <w:tab/>
      </w:r>
      <w:r>
        <w:rPr>
          <w:sz w:val="24"/>
          <w:szCs w:val="24"/>
        </w:rPr>
        <w:fldChar w:fldCharType="begin"/>
      </w:r>
      <w:r>
        <w:rPr>
          <w:sz w:val="24"/>
          <w:szCs w:val="24"/>
        </w:rPr>
        <w:instrText xml:space="preserve"> PAGEREF _Toc65162012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F27CBE3">
      <w:pPr>
        <w:pStyle w:val="25"/>
        <w:rPr>
          <w:rFonts w:ascii="Calibri" w:hAnsi="Calibri"/>
          <w:b w:val="0"/>
          <w:caps w:val="0"/>
          <w:sz w:val="24"/>
          <w:szCs w:val="24"/>
        </w:rPr>
      </w:pPr>
      <w:r>
        <w:fldChar w:fldCharType="begin"/>
      </w:r>
      <w:r>
        <w:instrText xml:space="preserve"> HYPERLINK \l "_Toc65162013" </w:instrText>
      </w:r>
      <w:r>
        <w:fldChar w:fldCharType="separate"/>
      </w:r>
      <w:r>
        <w:rPr>
          <w:rStyle w:val="41"/>
          <w:sz w:val="24"/>
          <w:szCs w:val="24"/>
        </w:rPr>
        <w:t>十四、基金管理人和基金托管人的更换</w:t>
      </w:r>
      <w:r>
        <w:rPr>
          <w:sz w:val="24"/>
          <w:szCs w:val="24"/>
        </w:rPr>
        <w:tab/>
      </w:r>
      <w:r>
        <w:rPr>
          <w:sz w:val="24"/>
          <w:szCs w:val="24"/>
        </w:rPr>
        <w:fldChar w:fldCharType="begin"/>
      </w:r>
      <w:r>
        <w:rPr>
          <w:sz w:val="24"/>
          <w:szCs w:val="24"/>
        </w:rPr>
        <w:instrText xml:space="preserve"> PAGEREF _Toc65162013 \h </w:instrText>
      </w:r>
      <w:r>
        <w:rPr>
          <w:sz w:val="24"/>
          <w:szCs w:val="24"/>
        </w:rPr>
        <w:fldChar w:fldCharType="separate"/>
      </w:r>
      <w:r>
        <w:rPr>
          <w:sz w:val="24"/>
          <w:szCs w:val="24"/>
        </w:rPr>
        <w:t>30</w:t>
      </w:r>
      <w:r>
        <w:rPr>
          <w:sz w:val="24"/>
          <w:szCs w:val="24"/>
        </w:rPr>
        <w:fldChar w:fldCharType="end"/>
      </w:r>
      <w:r>
        <w:rPr>
          <w:sz w:val="24"/>
          <w:szCs w:val="24"/>
        </w:rPr>
        <w:fldChar w:fldCharType="end"/>
      </w:r>
    </w:p>
    <w:p w14:paraId="02753E3A">
      <w:pPr>
        <w:pStyle w:val="25"/>
        <w:rPr>
          <w:rFonts w:ascii="Calibri" w:hAnsi="Calibri"/>
          <w:b w:val="0"/>
          <w:caps w:val="0"/>
          <w:sz w:val="24"/>
          <w:szCs w:val="24"/>
        </w:rPr>
      </w:pPr>
      <w:r>
        <w:fldChar w:fldCharType="begin"/>
      </w:r>
      <w:r>
        <w:instrText xml:space="preserve"> HYPERLINK \l "_Toc65162014" </w:instrText>
      </w:r>
      <w:r>
        <w:fldChar w:fldCharType="separate"/>
      </w:r>
      <w:r>
        <w:rPr>
          <w:rStyle w:val="41"/>
          <w:sz w:val="24"/>
          <w:szCs w:val="24"/>
        </w:rPr>
        <w:t>十五、禁止行为</w:t>
      </w:r>
      <w:r>
        <w:rPr>
          <w:sz w:val="24"/>
          <w:szCs w:val="24"/>
        </w:rPr>
        <w:tab/>
      </w:r>
      <w:r>
        <w:rPr>
          <w:sz w:val="24"/>
          <w:szCs w:val="24"/>
        </w:rPr>
        <w:fldChar w:fldCharType="begin"/>
      </w:r>
      <w:r>
        <w:rPr>
          <w:sz w:val="24"/>
          <w:szCs w:val="24"/>
        </w:rPr>
        <w:instrText xml:space="preserve"> PAGEREF _Toc65162014 \h </w:instrText>
      </w:r>
      <w:r>
        <w:rPr>
          <w:sz w:val="24"/>
          <w:szCs w:val="24"/>
        </w:rPr>
        <w:fldChar w:fldCharType="separate"/>
      </w:r>
      <w:r>
        <w:rPr>
          <w:sz w:val="24"/>
          <w:szCs w:val="24"/>
        </w:rPr>
        <w:t>33</w:t>
      </w:r>
      <w:r>
        <w:rPr>
          <w:sz w:val="24"/>
          <w:szCs w:val="24"/>
        </w:rPr>
        <w:fldChar w:fldCharType="end"/>
      </w:r>
      <w:r>
        <w:rPr>
          <w:sz w:val="24"/>
          <w:szCs w:val="24"/>
        </w:rPr>
        <w:fldChar w:fldCharType="end"/>
      </w:r>
    </w:p>
    <w:p w14:paraId="2EAD73D5">
      <w:pPr>
        <w:pStyle w:val="25"/>
        <w:rPr>
          <w:rFonts w:ascii="Calibri" w:hAnsi="Calibri"/>
          <w:b w:val="0"/>
          <w:caps w:val="0"/>
          <w:sz w:val="24"/>
          <w:szCs w:val="24"/>
        </w:rPr>
      </w:pPr>
      <w:r>
        <w:fldChar w:fldCharType="begin"/>
      </w:r>
      <w:r>
        <w:instrText xml:space="preserve"> HYPERLINK \l "_Toc65162015" </w:instrText>
      </w:r>
      <w:r>
        <w:fldChar w:fldCharType="separate"/>
      </w:r>
      <w:r>
        <w:rPr>
          <w:rStyle w:val="41"/>
          <w:sz w:val="24"/>
          <w:szCs w:val="24"/>
        </w:rPr>
        <w:t>十六、基金托管协议的变更、终止与基金财产的清算</w:t>
      </w:r>
      <w:r>
        <w:rPr>
          <w:sz w:val="24"/>
          <w:szCs w:val="24"/>
        </w:rPr>
        <w:tab/>
      </w:r>
      <w:r>
        <w:rPr>
          <w:sz w:val="24"/>
          <w:szCs w:val="24"/>
        </w:rPr>
        <w:fldChar w:fldCharType="begin"/>
      </w:r>
      <w:r>
        <w:rPr>
          <w:sz w:val="24"/>
          <w:szCs w:val="24"/>
        </w:rPr>
        <w:instrText xml:space="preserve"> PAGEREF _Toc65162015 \h </w:instrText>
      </w:r>
      <w:r>
        <w:rPr>
          <w:sz w:val="24"/>
          <w:szCs w:val="24"/>
        </w:rPr>
        <w:fldChar w:fldCharType="separate"/>
      </w:r>
      <w:r>
        <w:rPr>
          <w:sz w:val="24"/>
          <w:szCs w:val="24"/>
        </w:rPr>
        <w:t>34</w:t>
      </w:r>
      <w:r>
        <w:rPr>
          <w:sz w:val="24"/>
          <w:szCs w:val="24"/>
        </w:rPr>
        <w:fldChar w:fldCharType="end"/>
      </w:r>
      <w:r>
        <w:rPr>
          <w:sz w:val="24"/>
          <w:szCs w:val="24"/>
        </w:rPr>
        <w:fldChar w:fldCharType="end"/>
      </w:r>
    </w:p>
    <w:p w14:paraId="0EFDF086">
      <w:pPr>
        <w:pStyle w:val="25"/>
        <w:rPr>
          <w:rFonts w:ascii="Calibri" w:hAnsi="Calibri"/>
          <w:b w:val="0"/>
          <w:caps w:val="0"/>
          <w:sz w:val="24"/>
          <w:szCs w:val="24"/>
        </w:rPr>
      </w:pPr>
      <w:r>
        <w:fldChar w:fldCharType="begin"/>
      </w:r>
      <w:r>
        <w:instrText xml:space="preserve"> HYPERLINK \l "_Toc65162016" </w:instrText>
      </w:r>
      <w:r>
        <w:fldChar w:fldCharType="separate"/>
      </w:r>
      <w:r>
        <w:rPr>
          <w:rStyle w:val="41"/>
          <w:sz w:val="24"/>
          <w:szCs w:val="24"/>
        </w:rPr>
        <w:t>十七、违约责任</w:t>
      </w:r>
      <w:r>
        <w:rPr>
          <w:sz w:val="24"/>
          <w:szCs w:val="24"/>
        </w:rPr>
        <w:tab/>
      </w:r>
      <w:r>
        <w:rPr>
          <w:sz w:val="24"/>
          <w:szCs w:val="24"/>
        </w:rPr>
        <w:fldChar w:fldCharType="begin"/>
      </w:r>
      <w:r>
        <w:rPr>
          <w:sz w:val="24"/>
          <w:szCs w:val="24"/>
        </w:rPr>
        <w:instrText xml:space="preserve"> PAGEREF _Toc65162016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74EE899">
      <w:pPr>
        <w:pStyle w:val="25"/>
        <w:rPr>
          <w:rFonts w:ascii="Calibri" w:hAnsi="Calibri"/>
          <w:b w:val="0"/>
          <w:caps w:val="0"/>
          <w:sz w:val="24"/>
          <w:szCs w:val="24"/>
        </w:rPr>
      </w:pPr>
      <w:r>
        <w:fldChar w:fldCharType="begin"/>
      </w:r>
      <w:r>
        <w:instrText xml:space="preserve"> HYPERLINK \l "_Toc65162017" </w:instrText>
      </w:r>
      <w:r>
        <w:fldChar w:fldCharType="separate"/>
      </w:r>
      <w:r>
        <w:rPr>
          <w:rStyle w:val="41"/>
          <w:sz w:val="24"/>
          <w:szCs w:val="24"/>
        </w:rPr>
        <w:t>十八、争议解决方式</w:t>
      </w:r>
      <w:r>
        <w:rPr>
          <w:sz w:val="24"/>
          <w:szCs w:val="24"/>
        </w:rPr>
        <w:tab/>
      </w:r>
      <w:r>
        <w:rPr>
          <w:sz w:val="24"/>
          <w:szCs w:val="24"/>
        </w:rPr>
        <w:fldChar w:fldCharType="begin"/>
      </w:r>
      <w:r>
        <w:rPr>
          <w:sz w:val="24"/>
          <w:szCs w:val="24"/>
        </w:rPr>
        <w:instrText xml:space="preserve"> PAGEREF _Toc65162017 \h </w:instrText>
      </w:r>
      <w:r>
        <w:rPr>
          <w:sz w:val="24"/>
          <w:szCs w:val="24"/>
        </w:rPr>
        <w:fldChar w:fldCharType="separate"/>
      </w:r>
      <w:r>
        <w:rPr>
          <w:sz w:val="24"/>
          <w:szCs w:val="24"/>
        </w:rPr>
        <w:t>37</w:t>
      </w:r>
      <w:r>
        <w:rPr>
          <w:sz w:val="24"/>
          <w:szCs w:val="24"/>
        </w:rPr>
        <w:fldChar w:fldCharType="end"/>
      </w:r>
      <w:r>
        <w:rPr>
          <w:sz w:val="24"/>
          <w:szCs w:val="24"/>
        </w:rPr>
        <w:fldChar w:fldCharType="end"/>
      </w:r>
    </w:p>
    <w:p w14:paraId="0C242FAE">
      <w:pPr>
        <w:pStyle w:val="25"/>
        <w:rPr>
          <w:rFonts w:ascii="Calibri" w:hAnsi="Calibri"/>
          <w:b w:val="0"/>
          <w:caps w:val="0"/>
          <w:sz w:val="24"/>
          <w:szCs w:val="24"/>
        </w:rPr>
      </w:pPr>
      <w:r>
        <w:fldChar w:fldCharType="begin"/>
      </w:r>
      <w:r>
        <w:instrText xml:space="preserve"> HYPERLINK \l "_Toc65162018" </w:instrText>
      </w:r>
      <w:r>
        <w:fldChar w:fldCharType="separate"/>
      </w:r>
      <w:r>
        <w:rPr>
          <w:rStyle w:val="41"/>
          <w:sz w:val="24"/>
          <w:szCs w:val="24"/>
        </w:rPr>
        <w:t>十九、基金托管协议的效力</w:t>
      </w:r>
      <w:r>
        <w:rPr>
          <w:sz w:val="24"/>
          <w:szCs w:val="24"/>
        </w:rPr>
        <w:tab/>
      </w:r>
      <w:r>
        <w:rPr>
          <w:sz w:val="24"/>
          <w:szCs w:val="24"/>
        </w:rPr>
        <w:fldChar w:fldCharType="begin"/>
      </w:r>
      <w:r>
        <w:rPr>
          <w:sz w:val="24"/>
          <w:szCs w:val="24"/>
        </w:rPr>
        <w:instrText xml:space="preserve"> PAGEREF _Toc65162018 \h </w:instrText>
      </w:r>
      <w:r>
        <w:rPr>
          <w:sz w:val="24"/>
          <w:szCs w:val="24"/>
        </w:rPr>
        <w:fldChar w:fldCharType="separate"/>
      </w:r>
      <w:r>
        <w:rPr>
          <w:sz w:val="24"/>
          <w:szCs w:val="24"/>
        </w:rPr>
        <w:t>37</w:t>
      </w:r>
      <w:r>
        <w:rPr>
          <w:sz w:val="24"/>
          <w:szCs w:val="24"/>
        </w:rPr>
        <w:fldChar w:fldCharType="end"/>
      </w:r>
      <w:r>
        <w:rPr>
          <w:sz w:val="24"/>
          <w:szCs w:val="24"/>
        </w:rPr>
        <w:fldChar w:fldCharType="end"/>
      </w:r>
    </w:p>
    <w:p w14:paraId="65B4524B">
      <w:pPr>
        <w:pStyle w:val="25"/>
        <w:rPr>
          <w:rFonts w:ascii="Calibri" w:hAnsi="Calibri"/>
          <w:b w:val="0"/>
          <w:caps w:val="0"/>
          <w:sz w:val="24"/>
          <w:szCs w:val="24"/>
        </w:rPr>
      </w:pPr>
      <w:r>
        <w:fldChar w:fldCharType="begin"/>
      </w:r>
      <w:r>
        <w:instrText xml:space="preserve"> HYPERLINK \l "_Toc65162019" </w:instrText>
      </w:r>
      <w:r>
        <w:fldChar w:fldCharType="separate"/>
      </w:r>
      <w:r>
        <w:rPr>
          <w:rStyle w:val="41"/>
          <w:sz w:val="24"/>
          <w:szCs w:val="24"/>
        </w:rPr>
        <w:t>二十、其他事项</w:t>
      </w:r>
      <w:r>
        <w:rPr>
          <w:sz w:val="24"/>
          <w:szCs w:val="24"/>
        </w:rPr>
        <w:tab/>
      </w:r>
      <w:r>
        <w:rPr>
          <w:sz w:val="24"/>
          <w:szCs w:val="24"/>
        </w:rPr>
        <w:fldChar w:fldCharType="begin"/>
      </w:r>
      <w:r>
        <w:rPr>
          <w:sz w:val="24"/>
          <w:szCs w:val="24"/>
        </w:rPr>
        <w:instrText xml:space="preserve"> PAGEREF _Toc65162019 \h </w:instrText>
      </w:r>
      <w:r>
        <w:rPr>
          <w:sz w:val="24"/>
          <w:szCs w:val="24"/>
        </w:rPr>
        <w:fldChar w:fldCharType="separate"/>
      </w:r>
      <w:r>
        <w:rPr>
          <w:sz w:val="24"/>
          <w:szCs w:val="24"/>
        </w:rPr>
        <w:t>38</w:t>
      </w:r>
      <w:r>
        <w:rPr>
          <w:sz w:val="24"/>
          <w:szCs w:val="24"/>
        </w:rPr>
        <w:fldChar w:fldCharType="end"/>
      </w:r>
      <w:r>
        <w:rPr>
          <w:sz w:val="24"/>
          <w:szCs w:val="24"/>
        </w:rPr>
        <w:fldChar w:fldCharType="end"/>
      </w:r>
    </w:p>
    <w:p w14:paraId="6381B02F">
      <w:pPr>
        <w:pStyle w:val="25"/>
        <w:rPr>
          <w:rFonts w:ascii="Calibri" w:hAnsi="Calibri"/>
          <w:b w:val="0"/>
          <w:caps w:val="0"/>
          <w:sz w:val="24"/>
          <w:szCs w:val="24"/>
        </w:rPr>
      </w:pPr>
      <w:r>
        <w:fldChar w:fldCharType="begin"/>
      </w:r>
      <w:r>
        <w:instrText xml:space="preserve"> HYPERLINK \l "_Toc65162020" </w:instrText>
      </w:r>
      <w:r>
        <w:fldChar w:fldCharType="separate"/>
      </w:r>
      <w:r>
        <w:rPr>
          <w:rStyle w:val="41"/>
          <w:sz w:val="24"/>
          <w:szCs w:val="24"/>
        </w:rPr>
        <w:t>二十一、基金托管协议的签订</w:t>
      </w:r>
      <w:r>
        <w:rPr>
          <w:sz w:val="24"/>
          <w:szCs w:val="24"/>
        </w:rPr>
        <w:tab/>
      </w:r>
      <w:r>
        <w:rPr>
          <w:sz w:val="24"/>
          <w:szCs w:val="24"/>
        </w:rPr>
        <w:fldChar w:fldCharType="begin"/>
      </w:r>
      <w:r>
        <w:rPr>
          <w:sz w:val="24"/>
          <w:szCs w:val="24"/>
        </w:rPr>
        <w:instrText xml:space="preserve"> PAGEREF _Toc65162020 \h </w:instrText>
      </w:r>
      <w:r>
        <w:rPr>
          <w:sz w:val="24"/>
          <w:szCs w:val="24"/>
        </w:rPr>
        <w:fldChar w:fldCharType="separate"/>
      </w:r>
      <w:r>
        <w:rPr>
          <w:sz w:val="24"/>
          <w:szCs w:val="24"/>
        </w:rPr>
        <w:t>38</w:t>
      </w:r>
      <w:r>
        <w:rPr>
          <w:sz w:val="24"/>
          <w:szCs w:val="24"/>
        </w:rPr>
        <w:fldChar w:fldCharType="end"/>
      </w:r>
      <w:r>
        <w:rPr>
          <w:sz w:val="24"/>
          <w:szCs w:val="24"/>
        </w:rPr>
        <w:fldChar w:fldCharType="end"/>
      </w:r>
    </w:p>
    <w:p w14:paraId="5469BEB0">
      <w:pPr>
        <w:tabs>
          <w:tab w:val="right" w:leader="dot" w:pos="8296"/>
        </w:tabs>
        <w:spacing w:line="360" w:lineRule="auto"/>
        <w:ind w:firstLine="640" w:firstLineChars="200"/>
        <w:rPr>
          <w:rStyle w:val="41"/>
          <w:rFonts w:ascii="宋体"/>
          <w:bCs/>
          <w:color w:val="000000"/>
        </w:rPr>
      </w:pPr>
      <w:r>
        <w:rPr>
          <w:rStyle w:val="41"/>
          <w:rFonts w:ascii="宋体" w:hAnsi="宋体"/>
          <w:bCs/>
          <w:color w:val="000000"/>
          <w:sz w:val="32"/>
          <w:szCs w:val="32"/>
        </w:rPr>
        <w:fldChar w:fldCharType="end"/>
      </w:r>
      <w:r>
        <w:rPr>
          <w:rStyle w:val="41"/>
          <w:rFonts w:ascii="宋体"/>
          <w:bCs/>
          <w:color w:val="000000"/>
        </w:rPr>
        <w:br w:type="page"/>
      </w:r>
      <w:bookmarkStart w:id="0" w:name="_Toc125892432"/>
      <w:bookmarkStart w:id="1" w:name="_Toc523829992"/>
      <w:bookmarkStart w:id="2" w:name="_Toc22454432"/>
    </w:p>
    <w:p w14:paraId="752B2133">
      <w:pPr>
        <w:tabs>
          <w:tab w:val="right" w:leader="dot" w:pos="8296"/>
        </w:tabs>
        <w:spacing w:line="360" w:lineRule="auto"/>
        <w:ind w:firstLine="480" w:firstLineChars="200"/>
        <w:rPr>
          <w:rFonts w:ascii="宋体"/>
          <w:sz w:val="24"/>
        </w:rPr>
      </w:pPr>
      <w:r>
        <w:rPr>
          <w:rFonts w:ascii="宋体" w:hAnsi="宋体"/>
          <w:sz w:val="24"/>
        </w:rPr>
        <w:t>鉴于汇添富基金管理股份有限公司系一家依照中国法律合法成立并有效存续的股份有限公司，拟募集</w:t>
      </w:r>
      <w:r>
        <w:rPr>
          <w:rFonts w:hint="eastAsia" w:ascii="宋体" w:hAnsi="宋体"/>
          <w:sz w:val="24"/>
          <w:lang w:eastAsia="zh-CN"/>
        </w:rPr>
        <w:t>汇添富中证家电龙头交易型开放式指数证券投资基金</w:t>
      </w:r>
      <w:r>
        <w:rPr>
          <w:rFonts w:ascii="宋体" w:hAnsi="宋体"/>
          <w:sz w:val="24"/>
        </w:rPr>
        <w:t>（以下简称“本基金”或“基金”）；</w:t>
      </w:r>
      <w:bookmarkEnd w:id="0"/>
    </w:p>
    <w:p w14:paraId="774AB2BE">
      <w:pPr>
        <w:spacing w:line="360" w:lineRule="auto"/>
        <w:ind w:firstLine="480" w:firstLineChars="200"/>
        <w:rPr>
          <w:rFonts w:ascii="宋体"/>
          <w:sz w:val="24"/>
        </w:rPr>
      </w:pPr>
      <w:bookmarkStart w:id="3" w:name="_Toc125892433"/>
      <w:r>
        <w:rPr>
          <w:rFonts w:ascii="宋体" w:hAnsi="宋体"/>
          <w:sz w:val="24"/>
        </w:rPr>
        <w:t>鉴于</w:t>
      </w:r>
      <w:r>
        <w:rPr>
          <w:rFonts w:hint="eastAsia" w:ascii="宋体" w:hAnsi="宋体"/>
          <w:sz w:val="24"/>
          <w:lang w:eastAsia="zh-CN"/>
        </w:rPr>
        <w:t>国金证券股份有限公司</w:t>
      </w:r>
      <w:r>
        <w:rPr>
          <w:rFonts w:ascii="宋体" w:hAnsi="宋体"/>
          <w:sz w:val="24"/>
        </w:rPr>
        <w:t>系一家依照中国法律合法成立并有效存续的</w:t>
      </w:r>
      <w:r>
        <w:rPr>
          <w:rFonts w:hint="eastAsia" w:ascii="宋体" w:hAnsi="宋体"/>
          <w:sz w:val="24"/>
        </w:rPr>
        <w:t>证券公司</w:t>
      </w:r>
      <w:r>
        <w:rPr>
          <w:rFonts w:ascii="宋体" w:hAnsi="宋体"/>
          <w:sz w:val="24"/>
        </w:rPr>
        <w:t>，按照相关法律法规的规定具备担任基金托管人的资格和能力；</w:t>
      </w:r>
      <w:bookmarkEnd w:id="3"/>
    </w:p>
    <w:p w14:paraId="047803FF">
      <w:pPr>
        <w:spacing w:line="360" w:lineRule="auto"/>
        <w:ind w:firstLine="480" w:firstLineChars="200"/>
        <w:rPr>
          <w:rFonts w:ascii="宋体"/>
          <w:sz w:val="24"/>
        </w:rPr>
      </w:pPr>
      <w:bookmarkStart w:id="4" w:name="_Toc125892434"/>
      <w:r>
        <w:rPr>
          <w:rFonts w:ascii="宋体" w:hAnsi="宋体"/>
          <w:sz w:val="24"/>
        </w:rPr>
        <w:t>鉴于汇添富基金管理股份有限公司拟担任</w:t>
      </w:r>
      <w:r>
        <w:rPr>
          <w:rFonts w:hint="eastAsia" w:ascii="宋体" w:hAnsi="宋体"/>
          <w:sz w:val="24"/>
          <w:lang w:eastAsia="zh-CN"/>
        </w:rPr>
        <w:t>汇添富中证家电龙头交易型开放式指数证券投资基金</w:t>
      </w:r>
      <w:r>
        <w:rPr>
          <w:rFonts w:ascii="宋体" w:hAnsi="宋体"/>
          <w:sz w:val="24"/>
        </w:rPr>
        <w:t>的基金管理人，</w:t>
      </w:r>
      <w:r>
        <w:rPr>
          <w:rFonts w:hint="eastAsia" w:ascii="宋体" w:hAnsi="宋体"/>
          <w:sz w:val="24"/>
          <w:lang w:eastAsia="zh-CN"/>
        </w:rPr>
        <w:t>国金证券股份有限公司</w:t>
      </w:r>
      <w:r>
        <w:rPr>
          <w:rFonts w:ascii="宋体" w:hAnsi="宋体"/>
          <w:sz w:val="24"/>
        </w:rPr>
        <w:t>拟担任</w:t>
      </w:r>
      <w:r>
        <w:rPr>
          <w:rFonts w:hint="eastAsia" w:ascii="宋体" w:hAnsi="宋体"/>
          <w:sz w:val="24"/>
          <w:lang w:eastAsia="zh-CN"/>
        </w:rPr>
        <w:t>汇添富中证家电龙头交易型开放式指数证券投资基金</w:t>
      </w:r>
      <w:r>
        <w:rPr>
          <w:rFonts w:ascii="宋体" w:hAnsi="宋体"/>
          <w:sz w:val="24"/>
        </w:rPr>
        <w:t>的基金托管人；</w:t>
      </w:r>
      <w:bookmarkEnd w:id="4"/>
    </w:p>
    <w:p w14:paraId="59632D5C">
      <w:pPr>
        <w:spacing w:line="360" w:lineRule="auto"/>
        <w:ind w:firstLine="480" w:firstLineChars="200"/>
        <w:rPr>
          <w:rFonts w:ascii="宋体"/>
          <w:sz w:val="24"/>
        </w:rPr>
      </w:pPr>
      <w:bookmarkStart w:id="5" w:name="_Toc125892435"/>
      <w:r>
        <w:rPr>
          <w:rFonts w:ascii="宋体" w:hAnsi="宋体"/>
          <w:sz w:val="24"/>
        </w:rPr>
        <w:t>为明确</w:t>
      </w:r>
      <w:r>
        <w:rPr>
          <w:rFonts w:hint="eastAsia" w:ascii="宋体" w:hAnsi="宋体"/>
          <w:sz w:val="24"/>
          <w:lang w:eastAsia="zh-CN"/>
        </w:rPr>
        <w:t>汇添富中证家电龙头交易型开放式指数证券投资基金</w:t>
      </w:r>
      <w:r>
        <w:rPr>
          <w:rFonts w:ascii="宋体" w:hAnsi="宋体"/>
          <w:sz w:val="24"/>
        </w:rPr>
        <w:t>的基金管理人和基金托管人之间的权利义务关系，特制订本协议；</w:t>
      </w:r>
      <w:bookmarkEnd w:id="5"/>
    </w:p>
    <w:p w14:paraId="03FB9990">
      <w:pPr>
        <w:spacing w:line="360" w:lineRule="auto"/>
        <w:ind w:firstLine="480" w:firstLineChars="200"/>
        <w:rPr>
          <w:rFonts w:ascii="宋体"/>
          <w:sz w:val="24"/>
        </w:rPr>
      </w:pPr>
      <w:bookmarkStart w:id="6" w:name="_Toc125892436"/>
      <w:r>
        <w:rPr>
          <w:rFonts w:ascii="宋体" w:hAnsi="宋体"/>
          <w:sz w:val="24"/>
        </w:rPr>
        <w:t>除非文义另有所指，本协议的所有术语与《</w:t>
      </w:r>
      <w:r>
        <w:rPr>
          <w:rFonts w:hint="eastAsia" w:ascii="宋体" w:hAnsi="宋体"/>
          <w:sz w:val="24"/>
          <w:lang w:eastAsia="zh-CN"/>
        </w:rPr>
        <w:t>汇添富中证家电龙头交易型开放式指数证券投资基金</w:t>
      </w:r>
      <w:r>
        <w:rPr>
          <w:rFonts w:ascii="宋体" w:hAnsi="宋体"/>
          <w:sz w:val="24"/>
        </w:rPr>
        <w:t>基金合同》（以下简称《基金合同》</w:t>
      </w:r>
      <w:r>
        <w:rPr>
          <w:rFonts w:hint="eastAsia" w:ascii="宋体" w:hAnsi="宋体"/>
          <w:sz w:val="24"/>
        </w:rPr>
        <w:t>或基金合同</w:t>
      </w:r>
      <w:r>
        <w:rPr>
          <w:rFonts w:ascii="宋体" w:hAnsi="宋体"/>
          <w:sz w:val="24"/>
        </w:rPr>
        <w:t>）中定义的相应术语具有相同的含义。若有抵触应以《基金合同》为准，并依其条款解释。</w:t>
      </w:r>
      <w:bookmarkEnd w:id="6"/>
      <w:bookmarkStart w:id="7" w:name="_Toc125892437"/>
    </w:p>
    <w:p w14:paraId="3DF08DFA">
      <w:pPr>
        <w:pStyle w:val="2"/>
      </w:pPr>
      <w:r>
        <w:br w:type="page"/>
      </w:r>
      <w:bookmarkStart w:id="8" w:name="_Toc65162000"/>
      <w:r>
        <w:t>一、基金托管协议当事人</w:t>
      </w:r>
      <w:bookmarkEnd w:id="1"/>
      <w:bookmarkEnd w:id="2"/>
      <w:bookmarkEnd w:id="7"/>
      <w:bookmarkEnd w:id="8"/>
    </w:p>
    <w:p w14:paraId="3396499E">
      <w:pPr>
        <w:tabs>
          <w:tab w:val="left" w:pos="3780"/>
        </w:tabs>
        <w:autoSpaceDE w:val="0"/>
        <w:autoSpaceDN w:val="0"/>
        <w:spacing w:before="156" w:after="156" w:line="360" w:lineRule="auto"/>
        <w:outlineLvl w:val="0"/>
        <w:rPr>
          <w:rFonts w:ascii="宋体"/>
          <w:b/>
          <w:bCs/>
          <w:sz w:val="24"/>
        </w:rPr>
      </w:pPr>
      <w:bookmarkStart w:id="9" w:name="_Toc22454433"/>
      <w:bookmarkStart w:id="10" w:name="_Toc77662992"/>
      <w:r>
        <w:rPr>
          <w:rFonts w:ascii="宋体" w:hAnsi="宋体"/>
          <w:b/>
          <w:bCs/>
          <w:sz w:val="24"/>
        </w:rPr>
        <w:t>（一）基金管理人</w:t>
      </w:r>
      <w:bookmarkEnd w:id="9"/>
      <w:bookmarkEnd w:id="10"/>
    </w:p>
    <w:p w14:paraId="222B7EBF">
      <w:pPr>
        <w:spacing w:line="360" w:lineRule="auto"/>
        <w:ind w:firstLine="480"/>
        <w:rPr>
          <w:rFonts w:ascii="宋体"/>
          <w:sz w:val="24"/>
        </w:rPr>
      </w:pPr>
      <w:r>
        <w:rPr>
          <w:rFonts w:ascii="宋体" w:hAnsi="宋体"/>
          <w:sz w:val="24"/>
        </w:rPr>
        <w:t>名称：汇添富基金管理股份有限公司</w:t>
      </w:r>
    </w:p>
    <w:p w14:paraId="531DE5BB">
      <w:pPr>
        <w:spacing w:line="360" w:lineRule="auto"/>
        <w:ind w:firstLine="480"/>
        <w:rPr>
          <w:rFonts w:ascii="宋体"/>
          <w:sz w:val="24"/>
        </w:rPr>
      </w:pPr>
      <w:r>
        <w:rPr>
          <w:rFonts w:ascii="宋体" w:hAnsi="宋体"/>
          <w:sz w:val="24"/>
        </w:rPr>
        <w:t>住所：</w:t>
      </w:r>
      <w:r>
        <w:rPr>
          <w:rFonts w:hint="eastAsia" w:ascii="宋体" w:hAnsi="宋体"/>
          <w:sz w:val="24"/>
        </w:rPr>
        <w:t>上海市黄浦区外马路728号9楼</w:t>
      </w:r>
    </w:p>
    <w:p w14:paraId="4A17E465">
      <w:pPr>
        <w:spacing w:line="360" w:lineRule="auto"/>
        <w:ind w:firstLine="480"/>
        <w:rPr>
          <w:rFonts w:ascii="宋体"/>
          <w:sz w:val="24"/>
        </w:rPr>
      </w:pPr>
      <w:r>
        <w:rPr>
          <w:rFonts w:ascii="宋体" w:hAnsi="宋体"/>
          <w:sz w:val="24"/>
        </w:rPr>
        <w:t>办公地址：上海市黄浦区外马路728号</w:t>
      </w:r>
    </w:p>
    <w:p w14:paraId="1A6DFCA3">
      <w:pPr>
        <w:spacing w:line="360" w:lineRule="auto"/>
        <w:ind w:firstLine="480"/>
        <w:rPr>
          <w:color w:val="000000"/>
          <w:sz w:val="24"/>
        </w:rPr>
      </w:pPr>
      <w:r>
        <w:rPr>
          <w:rFonts w:ascii="宋体" w:hAnsi="宋体"/>
          <w:sz w:val="24"/>
        </w:rPr>
        <w:t>法定代表人：</w:t>
      </w:r>
      <w:r>
        <w:rPr>
          <w:rFonts w:hint="eastAsia"/>
          <w:color w:val="000000"/>
          <w:sz w:val="24"/>
        </w:rPr>
        <w:t>鲁伟铭</w:t>
      </w:r>
    </w:p>
    <w:p w14:paraId="23F5AF68">
      <w:pPr>
        <w:spacing w:line="360" w:lineRule="auto"/>
        <w:ind w:firstLine="480"/>
        <w:rPr>
          <w:rFonts w:ascii="宋体"/>
          <w:sz w:val="24"/>
        </w:rPr>
      </w:pPr>
      <w:r>
        <w:rPr>
          <w:rFonts w:ascii="宋体" w:hAnsi="宋体"/>
          <w:sz w:val="24"/>
        </w:rPr>
        <w:t>成立时间：2005年2月3日</w:t>
      </w:r>
    </w:p>
    <w:p w14:paraId="68867251">
      <w:pPr>
        <w:spacing w:line="360" w:lineRule="auto"/>
        <w:ind w:firstLine="480"/>
        <w:rPr>
          <w:rFonts w:ascii="宋体"/>
          <w:sz w:val="24"/>
        </w:rPr>
      </w:pPr>
      <w:r>
        <w:rPr>
          <w:rFonts w:ascii="宋体" w:hAnsi="宋体"/>
          <w:sz w:val="24"/>
        </w:rPr>
        <w:t>批准设立机关及批准设立文号：</w:t>
      </w:r>
      <w:r>
        <w:rPr>
          <w:rFonts w:ascii="宋体"/>
          <w:sz w:val="24"/>
        </w:rPr>
        <w:t>中国证监会证监基金字【2005】5号</w:t>
      </w:r>
    </w:p>
    <w:p w14:paraId="7AB79F3C">
      <w:pPr>
        <w:spacing w:line="360" w:lineRule="auto"/>
        <w:ind w:firstLine="480"/>
        <w:rPr>
          <w:color w:val="000000"/>
          <w:sz w:val="24"/>
        </w:rPr>
      </w:pPr>
      <w:r>
        <w:rPr>
          <w:rFonts w:ascii="宋体" w:hAnsi="宋体"/>
          <w:sz w:val="24"/>
        </w:rPr>
        <w:t>注册资本：</w:t>
      </w:r>
      <w:r>
        <w:rPr>
          <w:color w:val="000000"/>
          <w:sz w:val="24"/>
        </w:rPr>
        <w:t>人民币13272.4224万元</w:t>
      </w:r>
    </w:p>
    <w:p w14:paraId="2ABB0043">
      <w:pPr>
        <w:spacing w:line="360" w:lineRule="auto"/>
        <w:ind w:firstLine="480"/>
        <w:rPr>
          <w:rFonts w:ascii="宋体"/>
          <w:sz w:val="24"/>
        </w:rPr>
      </w:pPr>
      <w:r>
        <w:rPr>
          <w:rFonts w:ascii="宋体" w:hAnsi="宋体"/>
          <w:sz w:val="24"/>
        </w:rPr>
        <w:t>组织形式：</w:t>
      </w:r>
      <w:r>
        <w:rPr>
          <w:rFonts w:ascii="宋体" w:hAnsi="宋体"/>
          <w:bCs/>
          <w:sz w:val="24"/>
        </w:rPr>
        <w:t>股份有限公司</w:t>
      </w:r>
    </w:p>
    <w:p w14:paraId="0CDDA9E7">
      <w:pPr>
        <w:spacing w:line="360" w:lineRule="auto"/>
        <w:ind w:firstLine="480" w:firstLineChars="200"/>
        <w:rPr>
          <w:rFonts w:ascii="宋体"/>
          <w:sz w:val="24"/>
        </w:rPr>
      </w:pPr>
      <w:r>
        <w:rPr>
          <w:rFonts w:ascii="宋体" w:hAnsi="宋体"/>
          <w:sz w:val="24"/>
        </w:rPr>
        <w:t>存续期间：</w:t>
      </w:r>
      <w:r>
        <w:rPr>
          <w:rFonts w:ascii="宋体"/>
          <w:sz w:val="24"/>
        </w:rPr>
        <w:t>持续经营</w:t>
      </w:r>
    </w:p>
    <w:p w14:paraId="68E727CF">
      <w:pPr>
        <w:tabs>
          <w:tab w:val="left" w:pos="3780"/>
        </w:tabs>
        <w:autoSpaceDE w:val="0"/>
        <w:autoSpaceDN w:val="0"/>
        <w:spacing w:before="156" w:after="156" w:line="360" w:lineRule="auto"/>
        <w:outlineLvl w:val="0"/>
        <w:rPr>
          <w:rFonts w:ascii="宋体"/>
          <w:b/>
          <w:bCs/>
          <w:sz w:val="24"/>
        </w:rPr>
      </w:pPr>
      <w:bookmarkStart w:id="11" w:name="_Toc22454434"/>
      <w:bookmarkStart w:id="12" w:name="_Toc77662993"/>
      <w:r>
        <w:rPr>
          <w:rFonts w:ascii="宋体" w:hAnsi="宋体"/>
          <w:b/>
          <w:bCs/>
          <w:sz w:val="24"/>
        </w:rPr>
        <w:t>（二）基金托管人</w:t>
      </w:r>
      <w:bookmarkEnd w:id="11"/>
      <w:bookmarkEnd w:id="12"/>
    </w:p>
    <w:p w14:paraId="7E810491">
      <w:pPr>
        <w:spacing w:line="360" w:lineRule="auto"/>
        <w:ind w:firstLine="480" w:firstLineChars="200"/>
        <w:rPr>
          <w:rFonts w:hint="eastAsia" w:ascii="宋体" w:hAnsi="宋体" w:cs="宋体"/>
          <w:sz w:val="24"/>
          <w:szCs w:val="24"/>
        </w:rPr>
      </w:pPr>
      <w:r>
        <w:rPr>
          <w:rFonts w:hint="eastAsia" w:ascii="宋体" w:hAnsi="宋体" w:cs="宋体"/>
          <w:sz w:val="24"/>
          <w:szCs w:val="24"/>
        </w:rPr>
        <w:t>名称：国金证券股份有限公司</w:t>
      </w:r>
    </w:p>
    <w:p w14:paraId="5FDF6A6B">
      <w:pPr>
        <w:spacing w:line="360" w:lineRule="auto"/>
        <w:ind w:firstLine="480" w:firstLineChars="200"/>
        <w:rPr>
          <w:rFonts w:hint="eastAsia" w:ascii="宋体" w:hAnsi="宋体" w:cs="宋体"/>
          <w:sz w:val="24"/>
          <w:szCs w:val="24"/>
        </w:rPr>
      </w:pPr>
      <w:r>
        <w:rPr>
          <w:rFonts w:hint="eastAsia" w:ascii="宋体" w:hAnsi="宋体" w:cs="宋体"/>
          <w:sz w:val="24"/>
          <w:szCs w:val="24"/>
        </w:rPr>
        <w:t>住所：四川省成都市东城根上街95号</w:t>
      </w:r>
    </w:p>
    <w:p w14:paraId="29DAD345">
      <w:pPr>
        <w:spacing w:line="360" w:lineRule="auto"/>
        <w:ind w:firstLine="480" w:firstLineChars="200"/>
        <w:rPr>
          <w:rFonts w:hint="eastAsia" w:ascii="宋体" w:hAnsi="宋体" w:cs="宋体"/>
          <w:sz w:val="24"/>
          <w:szCs w:val="24"/>
        </w:rPr>
      </w:pPr>
      <w:r>
        <w:rPr>
          <w:rFonts w:hint="eastAsia" w:ascii="宋体" w:hAnsi="宋体" w:cs="宋体"/>
          <w:sz w:val="24"/>
          <w:szCs w:val="24"/>
        </w:rPr>
        <w:t>办公地址：四川省成都市青羊区东城根上街95号13楼、上海市浦东新区芳甸路1088号18楼</w:t>
      </w:r>
    </w:p>
    <w:p w14:paraId="34023CED">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法定代表人：冉云</w:t>
      </w:r>
    </w:p>
    <w:p w14:paraId="74C39BB7">
      <w:pPr>
        <w:spacing w:line="360" w:lineRule="auto"/>
        <w:ind w:firstLine="480" w:firstLineChars="200"/>
        <w:rPr>
          <w:rFonts w:hint="eastAsia" w:ascii="宋体" w:hAnsi="宋体" w:cs="宋体"/>
          <w:sz w:val="24"/>
          <w:szCs w:val="24"/>
        </w:rPr>
      </w:pPr>
      <w:r>
        <w:rPr>
          <w:rFonts w:hint="eastAsia" w:ascii="宋体" w:hAnsi="宋体" w:cs="宋体"/>
          <w:sz w:val="24"/>
          <w:szCs w:val="24"/>
        </w:rPr>
        <w:t>成立时间：1996年12月20日</w:t>
      </w:r>
    </w:p>
    <w:p w14:paraId="55C4A37D">
      <w:pPr>
        <w:spacing w:line="360" w:lineRule="auto"/>
        <w:ind w:firstLine="480" w:firstLineChars="200"/>
        <w:rPr>
          <w:rFonts w:hint="eastAsia" w:ascii="宋体" w:hAnsi="宋体" w:cs="宋体"/>
          <w:sz w:val="24"/>
          <w:szCs w:val="24"/>
        </w:rPr>
      </w:pPr>
      <w:r>
        <w:rPr>
          <w:rFonts w:hint="eastAsia" w:ascii="宋体" w:hAnsi="宋体" w:cs="宋体"/>
          <w:sz w:val="24"/>
          <w:szCs w:val="24"/>
        </w:rPr>
        <w:t>批准设立机关及批准设立文号：中国人民银行银复[1990]498号</w:t>
      </w:r>
    </w:p>
    <w:p w14:paraId="13A6B02B">
      <w:pPr>
        <w:spacing w:line="360" w:lineRule="auto"/>
        <w:ind w:firstLine="480" w:firstLineChars="200"/>
        <w:rPr>
          <w:rFonts w:hint="eastAsia" w:ascii="宋体" w:hAnsi="宋体" w:cs="宋体"/>
          <w:sz w:val="24"/>
          <w:szCs w:val="24"/>
        </w:rPr>
      </w:pPr>
      <w:r>
        <w:rPr>
          <w:rFonts w:hint="eastAsia" w:ascii="宋体" w:hAnsi="宋体" w:cs="宋体"/>
          <w:sz w:val="24"/>
          <w:szCs w:val="24"/>
        </w:rPr>
        <w:t>组织形式：股份有限公司</w:t>
      </w:r>
    </w:p>
    <w:p w14:paraId="553C5146">
      <w:pPr>
        <w:spacing w:line="360" w:lineRule="auto"/>
        <w:ind w:firstLine="480" w:firstLineChars="200"/>
        <w:rPr>
          <w:rFonts w:hint="eastAsia" w:ascii="宋体" w:hAnsi="宋体" w:cs="宋体"/>
          <w:sz w:val="24"/>
          <w:szCs w:val="24"/>
        </w:rPr>
      </w:pPr>
      <w:r>
        <w:rPr>
          <w:rFonts w:hint="eastAsia" w:ascii="宋体" w:hAnsi="宋体" w:cs="宋体"/>
          <w:sz w:val="24"/>
          <w:szCs w:val="24"/>
        </w:rPr>
        <w:t>注册资本：3,724,359,310元人民币</w:t>
      </w:r>
    </w:p>
    <w:p w14:paraId="09B5B90D">
      <w:pPr>
        <w:spacing w:line="360" w:lineRule="auto"/>
        <w:ind w:firstLine="480" w:firstLineChars="200"/>
        <w:rPr>
          <w:rFonts w:hint="eastAsia" w:ascii="宋体" w:hAnsi="宋体" w:cs="宋体"/>
          <w:sz w:val="24"/>
          <w:szCs w:val="24"/>
        </w:rPr>
      </w:pPr>
      <w:r>
        <w:rPr>
          <w:rFonts w:hint="eastAsia" w:ascii="宋体" w:hAnsi="宋体" w:cs="宋体"/>
          <w:sz w:val="24"/>
          <w:szCs w:val="24"/>
        </w:rPr>
        <w:t>存续期间：持续经营</w:t>
      </w:r>
    </w:p>
    <w:p w14:paraId="005EDF0F">
      <w:pPr>
        <w:spacing w:line="360" w:lineRule="auto"/>
        <w:ind w:firstLine="480" w:firstLineChars="200"/>
        <w:rPr>
          <w:rFonts w:ascii="宋体"/>
          <w:sz w:val="24"/>
        </w:rPr>
      </w:pPr>
      <w:r>
        <w:rPr>
          <w:rFonts w:hint="eastAsia" w:ascii="宋体" w:hAnsi="宋体" w:cs="宋体"/>
          <w:sz w:val="24"/>
          <w:szCs w:val="24"/>
        </w:rPr>
        <w:t>基金托管业务批准文号：证监许可〔2017〕990号</w:t>
      </w:r>
    </w:p>
    <w:p w14:paraId="4038682C">
      <w:pPr>
        <w:pStyle w:val="2"/>
      </w:pPr>
      <w:bookmarkStart w:id="13" w:name="_Toc466788852"/>
      <w:bookmarkStart w:id="14" w:name="_Toc523829993"/>
      <w:bookmarkStart w:id="15" w:name="_Toc22454435"/>
      <w:bookmarkStart w:id="16" w:name="_Toc65162001"/>
      <w:bookmarkStart w:id="17" w:name="_Toc125892438"/>
      <w:r>
        <w:t>二、基金托管协议的依据、目的和原则</w:t>
      </w:r>
      <w:bookmarkEnd w:id="13"/>
      <w:bookmarkEnd w:id="14"/>
      <w:bookmarkEnd w:id="15"/>
      <w:bookmarkEnd w:id="16"/>
      <w:bookmarkEnd w:id="17"/>
    </w:p>
    <w:p w14:paraId="2D974ADE">
      <w:pPr>
        <w:spacing w:line="360" w:lineRule="auto"/>
        <w:ind w:firstLine="480" w:firstLineChars="200"/>
        <w:rPr>
          <w:rFonts w:ascii="宋体"/>
          <w:sz w:val="24"/>
        </w:rPr>
      </w:pPr>
      <w:r>
        <w:rPr>
          <w:rFonts w:ascii="宋体" w:hAnsi="宋体"/>
          <w:sz w:val="24"/>
        </w:rPr>
        <w:t>本协议依据《中华人民共和国证券投资基金法》（以下简称《基金法》）、《公开募集证券投资基金销售机构监督管理办法》、《公开募集证券投资基金运作管理办法》（以下简称《运作办法》）、《公开募集证券投资基金信息披露管理办法》（以下简称《信息披露办法》）、《公开募集开放式证券投资基金流动性风险管理规定》（以下简称《流动性风险管理规定》）、《公开募集证券投资基金运作指引第3号——指数基金指引》、《基金合同》及其他有关规定订立。</w:t>
      </w:r>
    </w:p>
    <w:p w14:paraId="3DAA6B34">
      <w:pPr>
        <w:spacing w:line="360" w:lineRule="auto"/>
        <w:ind w:firstLine="480" w:firstLineChars="200"/>
        <w:rPr>
          <w:rFonts w:ascii="宋体"/>
          <w:sz w:val="24"/>
        </w:rPr>
      </w:pPr>
      <w:r>
        <w:rPr>
          <w:rFonts w:ascii="宋体" w:hAnsi="宋体"/>
          <w:sz w:val="24"/>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14:paraId="26195333">
      <w:pPr>
        <w:spacing w:line="360" w:lineRule="auto"/>
        <w:ind w:firstLine="480" w:firstLineChars="200"/>
        <w:rPr>
          <w:rFonts w:ascii="宋体"/>
          <w:sz w:val="24"/>
        </w:rPr>
      </w:pPr>
      <w:r>
        <w:rPr>
          <w:rFonts w:ascii="宋体" w:hAnsi="宋体"/>
          <w:sz w:val="24"/>
        </w:rPr>
        <w:t>基金管理人和基金托管人遵循平等自愿、诚实信用、充分保护投资者合法利益的原则，经协商一致，签订本协议。</w:t>
      </w:r>
    </w:p>
    <w:p w14:paraId="07B31B25">
      <w:pPr>
        <w:pStyle w:val="2"/>
        <w:rPr>
          <w:rFonts w:hAnsi="宋体"/>
          <w:b w:val="0"/>
          <w:bCs/>
        </w:rPr>
      </w:pPr>
      <w:bookmarkStart w:id="18" w:name="_Toc466788853"/>
      <w:bookmarkStart w:id="19" w:name="_Toc125892439"/>
      <w:bookmarkStart w:id="20" w:name="_Toc65162002"/>
      <w:bookmarkStart w:id="21" w:name="_Toc22454436"/>
      <w:bookmarkStart w:id="22" w:name="_Toc523829994"/>
      <w:r>
        <w:t>三、基金托管人对基金管理人</w:t>
      </w:r>
      <w:bookmarkEnd w:id="18"/>
      <w:r>
        <w:t>的业务监督和核查</w:t>
      </w:r>
      <w:bookmarkEnd w:id="19"/>
      <w:bookmarkEnd w:id="20"/>
      <w:bookmarkEnd w:id="21"/>
      <w:bookmarkEnd w:id="22"/>
    </w:p>
    <w:p w14:paraId="59518BB5">
      <w:pPr>
        <w:tabs>
          <w:tab w:val="left" w:pos="3780"/>
        </w:tabs>
        <w:autoSpaceDE w:val="0"/>
        <w:autoSpaceDN w:val="0"/>
        <w:spacing w:before="156" w:after="156" w:line="360" w:lineRule="auto"/>
        <w:outlineLvl w:val="0"/>
        <w:rPr>
          <w:rFonts w:ascii="宋体"/>
          <w:b/>
          <w:bCs/>
          <w:sz w:val="24"/>
        </w:rPr>
      </w:pPr>
      <w:r>
        <w:rPr>
          <w:rFonts w:ascii="宋体" w:hAnsi="宋体"/>
          <w:b/>
          <w:bCs/>
          <w:sz w:val="24"/>
        </w:rPr>
        <w:t>（一）基金托管人对基金管理人的投资行为行使监督权</w:t>
      </w:r>
    </w:p>
    <w:p w14:paraId="35DFD2D3">
      <w:pPr>
        <w:tabs>
          <w:tab w:val="left" w:pos="3780"/>
        </w:tabs>
        <w:autoSpaceDE w:val="0"/>
        <w:autoSpaceDN w:val="0"/>
        <w:spacing w:before="156" w:after="156" w:line="360" w:lineRule="auto"/>
        <w:ind w:firstLine="470" w:firstLineChars="196"/>
        <w:outlineLvl w:val="0"/>
        <w:rPr>
          <w:rFonts w:ascii="宋体"/>
          <w:b/>
          <w:bCs/>
          <w:sz w:val="24"/>
        </w:rPr>
      </w:pPr>
      <w:r>
        <w:rPr>
          <w:rFonts w:ascii="宋体" w:hAnsi="宋体"/>
          <w:b/>
          <w:bCs/>
          <w:sz w:val="24"/>
        </w:rPr>
        <w:t>1.基金托管人根据有关法律法规的规定及《基金合同》和本协议的约定，对基金的投资范围、投资对象进行监督。</w:t>
      </w:r>
    </w:p>
    <w:p w14:paraId="77D6C071">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本基金主要投资于标的指数成份股、备选成份股。为更好地实现投资目标，本基金可少量投资于非成份股（包括主板、创业板、科创板及其他中国证监会允许上市的股票、存托凭证）、债券（包括国债、央行票据、金融债、企业债、公司债、中期票据、短期融资券、超短期融资券、次级债券、政府支持债券、政府支持机构债券、地方政府债券、可交换债券、可转换债券（含分离交易可转债）及其他经中国证监会允许投资的债券）、资产支持证券、股指期货、国债期货、股票期权、债券回购、银行存款、同业存单、货币市场工具以及法律法规或中国证监会允许基金投资的其他金融工具（但须符合中国证监会相关规定）。</w:t>
      </w:r>
    </w:p>
    <w:p w14:paraId="3D447583">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本基金可根据法律法规的规定参与融资及转融通证券出借业务。</w:t>
      </w:r>
    </w:p>
    <w:p w14:paraId="4EEEEA88">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如法律法规或监管机构以后允许基金投资其他品种，基金管理人在履行适当程序后，可以将其纳入投资范围。</w:t>
      </w:r>
    </w:p>
    <w:p w14:paraId="3BAD8067">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基金的投资组合比例为：投资于标的指数成份股和备选成份股的比例不低于基金资产净值的90%，且不低于非现金基金资产的80%，因法律法规的规定而受限制的情形除外。</w:t>
      </w:r>
    </w:p>
    <w:p w14:paraId="2E21704F">
      <w:pPr>
        <w:pStyle w:val="216"/>
        <w:spacing w:line="360" w:lineRule="auto"/>
        <w:ind w:firstLine="480"/>
        <w:rPr>
          <w:rFonts w:ascii="宋体" w:hAnsi="宋体" w:cs="宋体"/>
          <w:sz w:val="24"/>
          <w:szCs w:val="24"/>
        </w:rPr>
      </w:pPr>
      <w:r>
        <w:rPr>
          <w:rStyle w:val="219"/>
          <w:rFonts w:hint="eastAsia" w:ascii="宋体" w:hAnsi="宋体" w:cs="宋体"/>
          <w:sz w:val="24"/>
          <w:szCs w:val="24"/>
        </w:rPr>
        <w:t>如法律法规或监管机构变更投资品种的投资比例限制，基金管理人在履行适当程序后，可以调整上述投资品种的投资比例。</w:t>
      </w:r>
    </w:p>
    <w:p w14:paraId="6C7D79AA">
      <w:pPr>
        <w:tabs>
          <w:tab w:val="left" w:pos="3780"/>
        </w:tabs>
        <w:autoSpaceDE w:val="0"/>
        <w:autoSpaceDN w:val="0"/>
        <w:spacing w:before="156" w:after="156" w:line="360" w:lineRule="auto"/>
        <w:ind w:firstLine="352" w:firstLineChars="147"/>
        <w:outlineLvl w:val="0"/>
        <w:rPr>
          <w:rFonts w:ascii="宋体"/>
          <w:b/>
          <w:bCs/>
          <w:sz w:val="24"/>
        </w:rPr>
      </w:pPr>
      <w:r>
        <w:rPr>
          <w:rFonts w:ascii="宋体" w:hAnsi="宋体"/>
          <w:b/>
          <w:bCs/>
          <w:sz w:val="24"/>
        </w:rPr>
        <w:t>2.基金托管人根据有关法律法规的规定及《基金合同》和本协议的约定，对基金投资、融资比例进行监督。</w:t>
      </w:r>
    </w:p>
    <w:p w14:paraId="6DA15E0C">
      <w:pPr>
        <w:tabs>
          <w:tab w:val="left" w:pos="1260"/>
        </w:tabs>
        <w:spacing w:line="336" w:lineRule="auto"/>
        <w:ind w:firstLine="480" w:firstLineChars="200"/>
        <w:rPr>
          <w:rFonts w:ascii="宋体"/>
          <w:sz w:val="24"/>
        </w:rPr>
      </w:pPr>
      <w:r>
        <w:rPr>
          <w:rFonts w:ascii="宋体" w:hAnsi="宋体"/>
          <w:sz w:val="24"/>
        </w:rPr>
        <w:t>根据《基金合同》的约定，本基金投资组合比例应符合以下规定：</w:t>
      </w:r>
    </w:p>
    <w:p w14:paraId="06F05EA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（1）本基金投资于标的指数成份股和备选成份股的比例不低于基金资产净值的90%，且不低于非现金基金资产的80%；</w:t>
      </w:r>
    </w:p>
    <w:p w14:paraId="71396AFC">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（2）本基金投资于同一原始权益人的各类资产支持证券的比例，不得超过基金资产净值的10%；</w:t>
      </w:r>
    </w:p>
    <w:p w14:paraId="4526388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（3）本基金持有的全部资产支持证券，其市值不得超过基金资产净值的20%；</w:t>
      </w:r>
    </w:p>
    <w:p w14:paraId="3CF68960">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（4）本基金持有的同一（指同一信用级别）资产支持证券的比例，不得超过该资产支持证券规模的10%；</w:t>
      </w:r>
    </w:p>
    <w:p w14:paraId="1EED7A4E">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5</w:t>
      </w:r>
      <w:r>
        <w:rPr>
          <w:rStyle w:val="219"/>
          <w:rFonts w:hint="eastAsia" w:ascii="宋体" w:hAnsi="宋体" w:cs="宋体"/>
          <w:sz w:val="24"/>
          <w:szCs w:val="24"/>
        </w:rPr>
        <w:t>）本基金应投资于信用级别评级为BBB以上（含BBB）的资产支持证券。基金持有资产支持证券期间，如果其信用等级下降、不再符合投资标准，应在评级报告发布之日起3个月内予以全部卖出；</w:t>
      </w:r>
    </w:p>
    <w:p w14:paraId="452C63FE">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6</w:t>
      </w:r>
      <w:r>
        <w:rPr>
          <w:rStyle w:val="219"/>
          <w:rFonts w:hint="eastAsia" w:ascii="宋体" w:hAnsi="宋体" w:cs="宋体"/>
          <w:sz w:val="24"/>
          <w:szCs w:val="24"/>
        </w:rPr>
        <w:t>）基金财产参与股票发行申购，本基金所申报的金额不超过本基金的总资产，本基金所申报的股票数量不超过拟发行股票公司本次发行股票的总量；</w:t>
      </w:r>
    </w:p>
    <w:p w14:paraId="5FD7A278">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7</w:t>
      </w:r>
      <w:r>
        <w:rPr>
          <w:rStyle w:val="219"/>
          <w:rFonts w:hint="eastAsia" w:ascii="宋体" w:hAnsi="宋体" w:cs="宋体"/>
          <w:sz w:val="24"/>
          <w:szCs w:val="24"/>
        </w:rPr>
        <w:t>）本基金参与股指期货和国债期货交易的，应当遵守下列要求：</w:t>
      </w:r>
    </w:p>
    <w:p w14:paraId="2216637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1）本基金在任何交易日日终，持有的买入股指期货合约价值，不得超过基金资产净值的10%；持有的买入国债期货合约价值，不得超过基金资产净值的15%；</w:t>
      </w:r>
    </w:p>
    <w:p w14:paraId="15DFB50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14:paraId="28336A35">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3）本基金在任何交易日日终，持有的卖出股指期货合约价值不得超过基金持有的股票总市值的20%；持有的卖出国债期货合约价值不得超过基金持有的债券总市值的30%；</w:t>
      </w:r>
    </w:p>
    <w:p w14:paraId="298ABBDD">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4）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1680687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5）本基金在任何交易日内交易（不包括平仓）的股指期货合约的成交金额不得超过上一交易日基金资产净值的20%；在任何交易日内交易（不包括平仓）的国债期货合约的成交金额不得超过上一交易日基金资产净值的30%；</w:t>
      </w:r>
    </w:p>
    <w:p w14:paraId="797372E5">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6）本基金每个交易日日终在扣除国债期货和股指期货合约需缴纳的交易保证金后，应当保持不低于交易保证金一倍的现金，其中现金不包括结算备付金、存出保证金、应收申购款等；</w:t>
      </w:r>
    </w:p>
    <w:p w14:paraId="10E15C00">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8</w:t>
      </w:r>
      <w:r>
        <w:rPr>
          <w:rStyle w:val="219"/>
          <w:rFonts w:hint="eastAsia" w:ascii="宋体" w:hAnsi="宋体" w:cs="宋体"/>
          <w:sz w:val="24"/>
          <w:szCs w:val="24"/>
        </w:rPr>
        <w:t>）因未平仓的股票期权合约支付和收取的权利金总额不得超过基金资产净值的10%；开仓卖出认购股票期权的，应持有足额标的证券；开仓卖出认沽股票期权的，应持有合约行权所需的全额现金或交易所规则认可的可冲抵期权保证金的现金等价物；未平仓的股票期权合约面值不得超过基金资产净值的20%。其中，合约面值按照行权价乘以合约乘数计算；</w:t>
      </w:r>
    </w:p>
    <w:p w14:paraId="3C5F4BBA">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9</w:t>
      </w:r>
      <w:r>
        <w:rPr>
          <w:rStyle w:val="219"/>
          <w:rFonts w:hint="eastAsia" w:ascii="宋体" w:hAnsi="宋体" w:cs="宋体"/>
          <w:sz w:val="24"/>
          <w:szCs w:val="24"/>
        </w:rPr>
        <w:t>）本基金参与融资的，每个交易日日终，本基金持有的融资买入股票与其他有价证券市值之和，不得超过基金资产净值的95%；</w:t>
      </w:r>
    </w:p>
    <w:p w14:paraId="265C7A14">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10</w:t>
      </w:r>
      <w:r>
        <w:rPr>
          <w:rStyle w:val="219"/>
          <w:rFonts w:hint="eastAsia" w:ascii="宋体" w:hAnsi="宋体" w:cs="宋体"/>
          <w:sz w:val="24"/>
          <w:szCs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74041B9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11</w:t>
      </w:r>
      <w:r>
        <w:rPr>
          <w:rStyle w:val="219"/>
          <w:rFonts w:hint="eastAsia" w:ascii="宋体" w:hAnsi="宋体" w:cs="宋体"/>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6634BB9">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12</w:t>
      </w:r>
      <w:r>
        <w:rPr>
          <w:rStyle w:val="219"/>
          <w:rFonts w:hint="eastAsia" w:ascii="宋体" w:hAnsi="宋体" w:cs="宋体"/>
          <w:sz w:val="24"/>
          <w:szCs w:val="24"/>
        </w:rPr>
        <w:t>）本基金与私募类证券资管产品及中国证监会认定的其他主体为交易对手开展逆回购交易的，可接受质押品的资质要求应当与</w:t>
      </w:r>
      <w:r>
        <w:rPr>
          <w:rStyle w:val="219"/>
          <w:rFonts w:hint="eastAsia" w:ascii="宋体" w:hAnsi="宋体" w:cs="宋体"/>
          <w:sz w:val="24"/>
          <w:szCs w:val="24"/>
          <w:lang w:val="en-US" w:eastAsia="zh-CN"/>
        </w:rPr>
        <w:t>本</w:t>
      </w:r>
      <w:r>
        <w:rPr>
          <w:rStyle w:val="219"/>
          <w:rFonts w:hint="eastAsia" w:ascii="宋体" w:hAnsi="宋体" w:cs="宋体"/>
          <w:sz w:val="24"/>
          <w:szCs w:val="24"/>
        </w:rPr>
        <w:t>基金合同约定的投资范围保持一致；</w:t>
      </w:r>
    </w:p>
    <w:p w14:paraId="37012B95">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13</w:t>
      </w:r>
      <w:r>
        <w:rPr>
          <w:rStyle w:val="219"/>
          <w:rFonts w:hint="eastAsia" w:ascii="宋体" w:hAnsi="宋体" w:cs="宋体"/>
          <w:sz w:val="24"/>
          <w:szCs w:val="24"/>
        </w:rPr>
        <w:t>）本基金资产总值不超过基金资产净值的140%；</w:t>
      </w:r>
    </w:p>
    <w:p w14:paraId="488E827C">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14</w:t>
      </w:r>
      <w:r>
        <w:rPr>
          <w:rStyle w:val="219"/>
          <w:rFonts w:hint="eastAsia" w:ascii="宋体" w:hAnsi="宋体" w:cs="宋体"/>
          <w:sz w:val="24"/>
          <w:szCs w:val="24"/>
        </w:rPr>
        <w:t>）本基金投资存托凭证的比例限制依照境内上市交易的股票执行；</w:t>
      </w:r>
    </w:p>
    <w:p w14:paraId="640B74BC">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w:t>
      </w:r>
      <w:r>
        <w:rPr>
          <w:rStyle w:val="219"/>
          <w:rFonts w:hint="eastAsia" w:ascii="宋体" w:hAnsi="宋体" w:cs="宋体"/>
          <w:sz w:val="24"/>
          <w:szCs w:val="24"/>
          <w:lang w:val="en-US" w:eastAsia="zh-CN"/>
        </w:rPr>
        <w:t>15</w:t>
      </w:r>
      <w:r>
        <w:rPr>
          <w:rStyle w:val="219"/>
          <w:rFonts w:hint="eastAsia" w:ascii="宋体" w:hAnsi="宋体" w:cs="宋体"/>
          <w:sz w:val="24"/>
          <w:szCs w:val="24"/>
        </w:rPr>
        <w:t>）法律法规及中国证监会规定的和《基金合同》约定的其他投资限制。</w:t>
      </w:r>
    </w:p>
    <w:p w14:paraId="292AC994">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除上述第（</w:t>
      </w:r>
      <w:r>
        <w:rPr>
          <w:rStyle w:val="219"/>
          <w:rFonts w:hint="eastAsia" w:ascii="宋体" w:hAnsi="宋体" w:cs="宋体"/>
          <w:sz w:val="24"/>
          <w:szCs w:val="24"/>
          <w:lang w:val="en-US" w:eastAsia="zh-CN"/>
        </w:rPr>
        <w:t>5</w:t>
      </w:r>
      <w:r>
        <w:rPr>
          <w:rStyle w:val="219"/>
          <w:rFonts w:hint="eastAsia" w:ascii="宋体" w:hAnsi="宋体" w:cs="宋体"/>
          <w:sz w:val="24"/>
          <w:szCs w:val="24"/>
        </w:rPr>
        <w:t>）、</w:t>
      </w:r>
      <w:r>
        <w:rPr>
          <w:rStyle w:val="219"/>
          <w:rFonts w:hint="eastAsia" w:ascii="宋体" w:hAnsi="宋体" w:cs="宋体"/>
          <w:sz w:val="24"/>
          <w:szCs w:val="24"/>
          <w:lang w:eastAsia="zh-CN"/>
        </w:rPr>
        <w:t>（</w:t>
      </w:r>
      <w:r>
        <w:rPr>
          <w:rStyle w:val="219"/>
          <w:rFonts w:hint="eastAsia" w:ascii="宋体" w:hAnsi="宋体" w:cs="宋体"/>
          <w:sz w:val="24"/>
          <w:szCs w:val="24"/>
          <w:lang w:val="en-US" w:eastAsia="zh-CN"/>
        </w:rPr>
        <w:t>10</w:t>
      </w:r>
      <w:r>
        <w:rPr>
          <w:rStyle w:val="219"/>
          <w:rFonts w:hint="eastAsia" w:ascii="宋体" w:hAnsi="宋体" w:cs="宋体"/>
          <w:sz w:val="24"/>
          <w:szCs w:val="24"/>
          <w:lang w:eastAsia="zh-CN"/>
        </w:rPr>
        <w:t>）、</w:t>
      </w:r>
      <w:r>
        <w:rPr>
          <w:rStyle w:val="219"/>
          <w:rFonts w:hint="eastAsia" w:ascii="宋体" w:hAnsi="宋体" w:cs="宋体"/>
          <w:sz w:val="24"/>
          <w:szCs w:val="24"/>
        </w:rPr>
        <w:t>（11）、（12）项情形之外，因证券/期货市场波动、证券发行人合并、标的指数成份股调整、标的指数成份股流动性限制、基金规模变动等基金管理人之外的因素致使基金投资比例不符合上述规定投资比例的，基金管理人应当在10个交易日内进行调整，但中国证监会规定的特殊情形除外。因证券市场波动、证券发行人合并、基金规模变动等基金管理人之外的因素致使基金投资不符合第（11）项规定的，基金管理人不得新增出借业务。法律法规另有规定的从其规定。</w:t>
      </w:r>
    </w:p>
    <w:p w14:paraId="6AFD9628">
      <w:pPr>
        <w:pStyle w:val="216"/>
        <w:spacing w:line="360" w:lineRule="auto"/>
        <w:ind w:firstLine="480"/>
        <w:rPr>
          <w:rStyle w:val="219"/>
          <w:rFonts w:ascii="宋体" w:hAnsi="宋体" w:cs="宋体"/>
          <w:sz w:val="24"/>
          <w:szCs w:val="24"/>
        </w:rPr>
      </w:pPr>
      <w:r>
        <w:rPr>
          <w:rStyle w:val="219"/>
          <w:rFonts w:hint="eastAsia" w:ascii="宋体" w:hAnsi="宋体" w:cs="宋体"/>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91F160F">
      <w:pPr>
        <w:pStyle w:val="216"/>
        <w:spacing w:line="360" w:lineRule="auto"/>
        <w:ind w:firstLine="480"/>
        <w:rPr>
          <w:rFonts w:ascii="宋体" w:hAnsi="宋体" w:cs="宋体"/>
          <w:sz w:val="24"/>
          <w:szCs w:val="24"/>
        </w:rPr>
      </w:pPr>
      <w:r>
        <w:rPr>
          <w:rStyle w:val="219"/>
          <w:rFonts w:hint="eastAsia" w:ascii="宋体" w:hAnsi="宋体" w:cs="宋体"/>
          <w:sz w:val="24"/>
          <w:szCs w:val="24"/>
        </w:rPr>
        <w:t>法律法规或监管部门取消或调整上述限制，如适用于本基金，基金管理人在履行适当程序后，则本基金投资不再受相关限制或以调整以后的规定为准。</w:t>
      </w:r>
    </w:p>
    <w:p w14:paraId="0EC9C988">
      <w:pPr>
        <w:tabs>
          <w:tab w:val="left" w:pos="1260"/>
        </w:tabs>
        <w:spacing w:line="336" w:lineRule="auto"/>
        <w:ind w:firstLine="480" w:firstLineChars="200"/>
        <w:rPr>
          <w:rFonts w:ascii="宋体" w:hAnsi="宋体"/>
          <w:color w:val="000000"/>
          <w:sz w:val="24"/>
        </w:rPr>
      </w:pPr>
      <w:r>
        <w:rPr>
          <w:rFonts w:ascii="宋体" w:hAnsi="宋体"/>
          <w:color w:val="000000"/>
          <w:sz w:val="24"/>
        </w:rPr>
        <w:t>基金托管人依照上述规定对本基金的投资组合限制及调整期限进行监督。</w:t>
      </w:r>
    </w:p>
    <w:p w14:paraId="7AC42860">
      <w:pPr>
        <w:spacing w:line="360" w:lineRule="auto"/>
        <w:ind w:firstLine="480" w:firstLineChars="200"/>
        <w:rPr>
          <w:rFonts w:ascii="宋体"/>
          <w:b/>
          <w:bCs/>
          <w:sz w:val="24"/>
        </w:rPr>
      </w:pPr>
      <w:r>
        <w:rPr>
          <w:rFonts w:ascii="宋体" w:hAnsi="宋体"/>
          <w:b/>
          <w:bCs/>
          <w:sz w:val="24"/>
        </w:rPr>
        <w:t>3.基金托管人</w:t>
      </w:r>
      <w:bookmarkStart w:id="23" w:name="OLE_LINK1"/>
      <w:r>
        <w:rPr>
          <w:rFonts w:ascii="宋体" w:hAnsi="宋体"/>
          <w:b/>
          <w:bCs/>
          <w:sz w:val="24"/>
        </w:rPr>
        <w:t>根据有关法律法规的规定及基金合同和本协议的约定，</w:t>
      </w:r>
      <w:bookmarkEnd w:id="23"/>
      <w:r>
        <w:rPr>
          <w:rFonts w:ascii="宋体" w:hAnsi="宋体"/>
          <w:b/>
          <w:bCs/>
          <w:sz w:val="24"/>
        </w:rPr>
        <w:t>对基金投资禁止行为进行监督。基金财产不得用于下列投资或者活动。</w:t>
      </w:r>
    </w:p>
    <w:p w14:paraId="7F0343B4">
      <w:pPr>
        <w:pStyle w:val="216"/>
        <w:spacing w:line="360" w:lineRule="auto"/>
        <w:ind w:firstLine="480"/>
        <w:rPr>
          <w:rFonts w:ascii="宋体" w:hAnsi="宋体" w:cs="宋体"/>
          <w:sz w:val="24"/>
          <w:szCs w:val="24"/>
        </w:rPr>
      </w:pPr>
      <w:r>
        <w:rPr>
          <w:rStyle w:val="219"/>
          <w:rFonts w:ascii="宋体" w:hAnsi="宋体" w:cs="宋体"/>
          <w:sz w:val="24"/>
          <w:szCs w:val="24"/>
        </w:rPr>
        <w:t>（1）承销证券；</w:t>
      </w:r>
    </w:p>
    <w:p w14:paraId="63B2D41F">
      <w:pPr>
        <w:pStyle w:val="216"/>
        <w:spacing w:line="360" w:lineRule="auto"/>
        <w:ind w:firstLine="480"/>
        <w:rPr>
          <w:rFonts w:ascii="宋体" w:hAnsi="宋体" w:cs="宋体"/>
          <w:sz w:val="24"/>
          <w:szCs w:val="24"/>
        </w:rPr>
      </w:pPr>
      <w:r>
        <w:rPr>
          <w:rStyle w:val="219"/>
          <w:rFonts w:ascii="宋体" w:hAnsi="宋体" w:cs="宋体"/>
          <w:sz w:val="24"/>
          <w:szCs w:val="24"/>
        </w:rPr>
        <w:t>（2）违反规定向他人贷款或者提供担保；</w:t>
      </w:r>
    </w:p>
    <w:p w14:paraId="3E6089FD">
      <w:pPr>
        <w:pStyle w:val="216"/>
        <w:spacing w:line="360" w:lineRule="auto"/>
        <w:ind w:firstLine="480"/>
        <w:rPr>
          <w:rFonts w:ascii="宋体" w:hAnsi="宋体" w:cs="宋体"/>
          <w:sz w:val="24"/>
          <w:szCs w:val="24"/>
        </w:rPr>
      </w:pPr>
      <w:r>
        <w:rPr>
          <w:rStyle w:val="219"/>
          <w:rFonts w:ascii="宋体" w:hAnsi="宋体" w:cs="宋体"/>
          <w:sz w:val="24"/>
          <w:szCs w:val="24"/>
        </w:rPr>
        <w:t>（3）从事承担无限责任的投资；</w:t>
      </w:r>
    </w:p>
    <w:p w14:paraId="620A2847">
      <w:pPr>
        <w:pStyle w:val="216"/>
        <w:spacing w:line="360" w:lineRule="auto"/>
        <w:ind w:firstLine="480"/>
        <w:rPr>
          <w:rFonts w:ascii="宋体" w:hAnsi="宋体" w:cs="宋体"/>
          <w:sz w:val="24"/>
          <w:szCs w:val="24"/>
        </w:rPr>
      </w:pPr>
      <w:r>
        <w:rPr>
          <w:rStyle w:val="219"/>
          <w:rFonts w:ascii="宋体" w:hAnsi="宋体" w:cs="宋体"/>
          <w:sz w:val="24"/>
          <w:szCs w:val="24"/>
        </w:rPr>
        <w:t>（4）买卖其他基金份额，但是法律法规或中国证监会另有规定的除外；</w:t>
      </w:r>
    </w:p>
    <w:p w14:paraId="0FE7E909">
      <w:pPr>
        <w:pStyle w:val="216"/>
        <w:spacing w:line="360" w:lineRule="auto"/>
        <w:ind w:firstLine="480"/>
        <w:rPr>
          <w:rFonts w:ascii="宋体" w:hAnsi="宋体" w:cs="宋体"/>
          <w:sz w:val="24"/>
          <w:szCs w:val="24"/>
        </w:rPr>
      </w:pPr>
      <w:r>
        <w:rPr>
          <w:rStyle w:val="219"/>
          <w:rFonts w:ascii="宋体" w:hAnsi="宋体" w:cs="宋体"/>
          <w:sz w:val="24"/>
          <w:szCs w:val="24"/>
        </w:rPr>
        <w:t>（5）向其基金管理人、基金托管人出资；</w:t>
      </w:r>
    </w:p>
    <w:p w14:paraId="7C5F32A2">
      <w:pPr>
        <w:pStyle w:val="216"/>
        <w:spacing w:line="360" w:lineRule="auto"/>
        <w:ind w:firstLine="480"/>
        <w:rPr>
          <w:rFonts w:ascii="宋体" w:hAnsi="宋体" w:cs="宋体"/>
          <w:sz w:val="24"/>
          <w:szCs w:val="24"/>
        </w:rPr>
      </w:pPr>
      <w:r>
        <w:rPr>
          <w:rStyle w:val="219"/>
          <w:rFonts w:ascii="宋体" w:hAnsi="宋体" w:cs="宋体"/>
          <w:sz w:val="24"/>
          <w:szCs w:val="24"/>
        </w:rPr>
        <w:t>（6）从事内幕交易、操纵证券交易价格及其他不正当的证券交易活动；</w:t>
      </w:r>
    </w:p>
    <w:p w14:paraId="2319C6B3">
      <w:pPr>
        <w:pStyle w:val="216"/>
        <w:spacing w:line="360" w:lineRule="auto"/>
        <w:ind w:firstLine="480"/>
        <w:rPr>
          <w:rFonts w:ascii="宋体" w:hAnsi="宋体" w:cs="宋体"/>
          <w:sz w:val="24"/>
          <w:szCs w:val="24"/>
        </w:rPr>
      </w:pPr>
      <w:r>
        <w:rPr>
          <w:rStyle w:val="219"/>
          <w:rFonts w:ascii="宋体" w:hAnsi="宋体" w:cs="宋体"/>
          <w:sz w:val="24"/>
          <w:szCs w:val="24"/>
        </w:rPr>
        <w:t>（7）法律、行政法规和中国证监会规定禁止的其他活动。</w:t>
      </w:r>
    </w:p>
    <w:p w14:paraId="65A09FFE">
      <w:pPr>
        <w:pStyle w:val="216"/>
        <w:spacing w:line="360" w:lineRule="auto"/>
        <w:ind w:firstLine="480"/>
        <w:rPr>
          <w:rFonts w:ascii="宋体" w:hAnsi="宋体" w:cs="宋体"/>
          <w:sz w:val="24"/>
          <w:szCs w:val="24"/>
        </w:rPr>
      </w:pPr>
      <w:r>
        <w:rPr>
          <w:rFonts w:ascii="宋体" w:hAnsi="宋体" w:cs="宋体"/>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B671A85">
      <w:pPr>
        <w:pStyle w:val="216"/>
        <w:spacing w:line="360" w:lineRule="auto"/>
        <w:ind w:firstLine="480"/>
        <w:rPr>
          <w:rFonts w:ascii="宋体" w:hAnsi="宋体" w:cs="宋体"/>
          <w:sz w:val="24"/>
          <w:szCs w:val="24"/>
        </w:rPr>
      </w:pPr>
      <w:r>
        <w:rPr>
          <w:rFonts w:ascii="宋体" w:hAnsi="宋体" w:cs="宋体"/>
          <w:sz w:val="24"/>
          <w:szCs w:val="24"/>
        </w:rPr>
        <w:t>法律法规或监管部门取消或调整上述限制，如适用于本基金，基金管理人在履行适当程序后，则本基金投资不再受相关限制或以调整以后的规定为准。</w:t>
      </w:r>
    </w:p>
    <w:p w14:paraId="0D554AA2">
      <w:pPr>
        <w:tabs>
          <w:tab w:val="left" w:pos="1260"/>
        </w:tabs>
        <w:spacing w:line="360" w:lineRule="auto"/>
        <w:ind w:firstLine="480" w:firstLineChars="200"/>
        <w:rPr>
          <w:rFonts w:ascii="宋体"/>
          <w:sz w:val="24"/>
        </w:rPr>
      </w:pPr>
      <w:r>
        <w:rPr>
          <w:rFonts w:ascii="宋体" w:hAnsi="宋体"/>
          <w:sz w:val="24"/>
        </w:rPr>
        <w:t>在基金合同生效后，基金管理人和基金托管人应相互提供与本机构有控股关系的股东或者与本机构有其他重大利害关系的公司名单，以上名单发生变化的，应及时予以更新并通知对方。</w:t>
      </w:r>
    </w:p>
    <w:p w14:paraId="4562CD92">
      <w:pPr>
        <w:tabs>
          <w:tab w:val="left" w:pos="3780"/>
        </w:tabs>
        <w:autoSpaceDE w:val="0"/>
        <w:autoSpaceDN w:val="0"/>
        <w:spacing w:before="156" w:after="156" w:line="360" w:lineRule="auto"/>
        <w:outlineLvl w:val="0"/>
        <w:rPr>
          <w:rFonts w:ascii="宋体"/>
          <w:b/>
          <w:bCs/>
          <w:sz w:val="24"/>
        </w:rPr>
      </w:pPr>
      <w:bookmarkStart w:id="24" w:name="OLE_LINK2"/>
      <w:bookmarkStart w:id="25" w:name="OLE_LINK4"/>
      <w:r>
        <w:rPr>
          <w:rFonts w:ascii="宋体" w:hAnsi="宋体"/>
          <w:b/>
          <w:bCs/>
          <w:sz w:val="24"/>
        </w:rPr>
        <w:t>4.基金托管人根据有关法律法规的规定及基金合同和本协议的约定，对基金管理人参与银行间债券市场进行监督。</w:t>
      </w:r>
    </w:p>
    <w:bookmarkEnd w:id="24"/>
    <w:bookmarkEnd w:id="25"/>
    <w:p w14:paraId="1F56ED82">
      <w:pPr>
        <w:tabs>
          <w:tab w:val="left" w:pos="1260"/>
        </w:tabs>
        <w:spacing w:line="360" w:lineRule="auto"/>
        <w:ind w:firstLine="480" w:firstLineChars="200"/>
        <w:rPr>
          <w:rFonts w:ascii="宋体" w:hAnsi="宋体"/>
          <w:sz w:val="24"/>
        </w:rPr>
      </w:pPr>
      <w:r>
        <w:rPr>
          <w:rFonts w:hint="eastAsia" w:ascii="宋体" w:hAnsi="宋体"/>
          <w:sz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如基金管理人未提供银行间债券市场交易对手名单，则视为交易对手名单包括全市场所有机构。</w:t>
      </w:r>
    </w:p>
    <w:p w14:paraId="36D8B41B">
      <w:pPr>
        <w:tabs>
          <w:tab w:val="left" w:pos="1260"/>
        </w:tabs>
        <w:spacing w:line="360" w:lineRule="auto"/>
        <w:ind w:firstLine="480" w:firstLineChars="200"/>
        <w:rPr>
          <w:rFonts w:ascii="宋体" w:hAnsi="宋体"/>
          <w:sz w:val="24"/>
        </w:rPr>
      </w:pPr>
      <w:r>
        <w:rPr>
          <w:rFonts w:hint="eastAsia" w:ascii="宋体" w:hAnsi="宋体"/>
          <w:sz w:val="24"/>
        </w:rPr>
        <w:t>基金管理人对银行间债券市场交易对手名单及结算方式进行更新，应及时通知基金托管人，新名单自基金托管人确认后生效，新名单生效前已与本次剔除的交易对手所进行但尚未结算的交易，仍应按照本协议进行结算。如基金管理人根据市场情况需要临时调整银行间债券市场交易对手名单及结算方式的，应向基金托管人说明理由，并在与交易对手发生交易前与基金托管人确认，双方共同协商解决。如果基金托管人发现基金管理人与不在名单内的银行间市场交易对手进行交易，应及时提醒基金管理人，经提醒后基金管理人仍未改正的，基金托管人不承担由此造成的相应损失和责任。</w:t>
      </w:r>
    </w:p>
    <w:p w14:paraId="6605A5F2">
      <w:pPr>
        <w:tabs>
          <w:tab w:val="left" w:pos="1260"/>
        </w:tabs>
        <w:spacing w:line="360" w:lineRule="auto"/>
        <w:rPr>
          <w:rFonts w:ascii="宋体" w:hAnsi="宋体"/>
          <w:sz w:val="24"/>
        </w:rPr>
      </w:pPr>
      <w:r>
        <w:rPr>
          <w:rFonts w:hint="eastAsia" w:ascii="宋体" w:hAnsi="宋体"/>
          <w:sz w:val="24"/>
        </w:rPr>
        <w:t>基金管理人负责对交易对手的资信控制和交易方式进行控制，按银行间债券市场的交易规则进行交易，并负责处理因交易对手不履行合同而造成的纠纷及损失，基金托管人不承担由此造成的相应法律责任及损失，但基金托管人应提供必要的配合和协助。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相应损失和责任。</w:t>
      </w:r>
    </w:p>
    <w:p w14:paraId="568B9D5F">
      <w:pPr>
        <w:tabs>
          <w:tab w:val="left" w:pos="3780"/>
        </w:tabs>
        <w:autoSpaceDE w:val="0"/>
        <w:autoSpaceDN w:val="0"/>
        <w:spacing w:before="156" w:after="156" w:line="360" w:lineRule="auto"/>
        <w:outlineLvl w:val="0"/>
        <w:rPr>
          <w:rFonts w:ascii="宋体"/>
          <w:b/>
          <w:bCs/>
          <w:sz w:val="24"/>
        </w:rPr>
      </w:pPr>
      <w:r>
        <w:rPr>
          <w:rFonts w:ascii="宋体" w:hAnsi="宋体"/>
          <w:b/>
          <w:bCs/>
          <w:sz w:val="24"/>
        </w:rPr>
        <w:t>5.基金托管人根据有关法律法规的规定及基金合同和本协议的约定，对基金管理人银行存款业务进行监督。</w:t>
      </w:r>
    </w:p>
    <w:p w14:paraId="2B170094">
      <w:pPr>
        <w:tabs>
          <w:tab w:val="left" w:pos="1260"/>
        </w:tabs>
        <w:spacing w:line="360" w:lineRule="auto"/>
        <w:ind w:firstLine="480" w:firstLineChars="200"/>
        <w:rPr>
          <w:rFonts w:ascii="宋体"/>
          <w:sz w:val="24"/>
        </w:rPr>
      </w:pPr>
      <w:r>
        <w:rPr>
          <w:rFonts w:ascii="宋体" w:hAnsi="宋体"/>
          <w:sz w:val="24"/>
        </w:rPr>
        <w:t>本基金投资银行存款应符合如下规定：</w:t>
      </w:r>
    </w:p>
    <w:p w14:paraId="34855EFB">
      <w:pPr>
        <w:tabs>
          <w:tab w:val="left" w:pos="1260"/>
        </w:tabs>
        <w:spacing w:line="360" w:lineRule="auto"/>
        <w:ind w:firstLine="480" w:firstLineChars="200"/>
        <w:rPr>
          <w:rFonts w:ascii="宋体" w:hAnsi="宋体"/>
          <w:sz w:val="24"/>
        </w:rPr>
      </w:pPr>
      <w:r>
        <w:rPr>
          <w:rFonts w:ascii="宋体" w:hAnsi="宋体"/>
          <w:sz w:val="24"/>
        </w:rPr>
        <w:t>（1）基金管理人、基金托管人应当与存款银行建立对账机制，确保基金银行存款业务账目及核算的真实、准确。</w:t>
      </w:r>
    </w:p>
    <w:p w14:paraId="6CAF75EB">
      <w:pPr>
        <w:tabs>
          <w:tab w:val="left" w:pos="1260"/>
        </w:tabs>
        <w:spacing w:line="360" w:lineRule="auto"/>
        <w:ind w:firstLine="480" w:firstLineChars="200"/>
        <w:rPr>
          <w:rFonts w:ascii="宋体"/>
          <w:sz w:val="24"/>
        </w:rPr>
      </w:pPr>
      <w:r>
        <w:rPr>
          <w:rFonts w:ascii="宋体" w:hAnsi="宋体"/>
          <w:sz w:val="24"/>
        </w:rPr>
        <w:t>（2）基金管理人与基金托管人应根据相关规定，就本基金银行存款业务另行签订书面协议，明确双方在相关协议签署、账户开设与管理、投资指令传达与执行、资金划拨、账目核对、到期兑付，以及存款证实书的开立、传递、保管等流程中的权利、义务和职责，以确保基金财产的安全，保护基金份额持有人的合法权益。</w:t>
      </w:r>
    </w:p>
    <w:p w14:paraId="2A02190B">
      <w:pPr>
        <w:tabs>
          <w:tab w:val="left" w:pos="1260"/>
        </w:tabs>
        <w:spacing w:line="360" w:lineRule="auto"/>
        <w:ind w:firstLine="480" w:firstLineChars="200"/>
        <w:rPr>
          <w:rFonts w:ascii="宋体"/>
          <w:sz w:val="24"/>
        </w:rPr>
      </w:pPr>
      <w:r>
        <w:rPr>
          <w:rFonts w:ascii="宋体" w:hAnsi="宋体"/>
          <w:sz w:val="24"/>
        </w:rPr>
        <w:t>（3）基金托管人应加强对基金银行存款业务的监督与核查，严格审查、复核相关协议、账户资料、投资指令、存款证实书等有关文件，切实履行托管职责。</w:t>
      </w:r>
    </w:p>
    <w:p w14:paraId="5E7DC8B3">
      <w:pPr>
        <w:tabs>
          <w:tab w:val="left" w:pos="1260"/>
        </w:tabs>
        <w:spacing w:line="360" w:lineRule="auto"/>
        <w:ind w:firstLine="480" w:firstLineChars="200"/>
        <w:rPr>
          <w:rFonts w:ascii="宋体"/>
          <w:sz w:val="24"/>
        </w:rPr>
      </w:pPr>
      <w:r>
        <w:rPr>
          <w:rFonts w:ascii="宋体" w:hAnsi="宋体"/>
          <w:sz w:val="24"/>
        </w:rPr>
        <w:t>（4）基金管理人与基金托管人在开展基金存款业务时，应严格遵守《基金法》、《运作办法》等有关法律法规，以及国家有关账户管理、利率管理、支付结算等的各项规定。</w:t>
      </w:r>
    </w:p>
    <w:p w14:paraId="1FD151ED">
      <w:pPr>
        <w:tabs>
          <w:tab w:val="left" w:pos="1260"/>
        </w:tabs>
        <w:spacing w:line="360" w:lineRule="auto"/>
        <w:rPr>
          <w:rFonts w:ascii="宋体"/>
          <w:b/>
          <w:sz w:val="24"/>
        </w:rPr>
      </w:pPr>
      <w:r>
        <w:rPr>
          <w:rFonts w:ascii="宋体" w:hAnsi="宋体"/>
          <w:b/>
          <w:sz w:val="24"/>
        </w:rPr>
        <w:t>6.基金托管人对基金投资流通受限证券的监督。</w:t>
      </w:r>
    </w:p>
    <w:p w14:paraId="1F25F5E1">
      <w:pPr>
        <w:spacing w:before="156" w:line="360" w:lineRule="auto"/>
        <w:ind w:left="105" w:firstLine="480" w:firstLineChars="200"/>
        <w:rPr>
          <w:rFonts w:ascii="宋体"/>
          <w:color w:val="000000"/>
          <w:sz w:val="24"/>
        </w:rPr>
      </w:pPr>
      <w:r>
        <w:rPr>
          <w:rFonts w:ascii="宋体" w:hAnsi="宋体"/>
          <w:color w:val="000000"/>
          <w:sz w:val="24"/>
        </w:rPr>
        <w:t>（1）基金投资流通受限证券</w:t>
      </w:r>
      <w:r>
        <w:rPr>
          <w:rFonts w:hint="eastAsia" w:ascii="宋体" w:hAnsi="宋体"/>
          <w:color w:val="000000"/>
          <w:sz w:val="24"/>
        </w:rPr>
        <w:t>，</w:t>
      </w:r>
      <w:r>
        <w:rPr>
          <w:rFonts w:ascii="宋体" w:hAnsi="宋体"/>
          <w:color w:val="000000"/>
          <w:sz w:val="24"/>
        </w:rPr>
        <w:t>应遵守《关于基金投资非公开发行股票等流通受限证券有关问题的通知》等有关法律法规规定。</w:t>
      </w:r>
    </w:p>
    <w:p w14:paraId="4E97E1C7">
      <w:pPr>
        <w:spacing w:before="156" w:line="360" w:lineRule="auto"/>
        <w:ind w:left="105" w:firstLine="480" w:firstLineChars="200"/>
        <w:rPr>
          <w:sz w:val="24"/>
        </w:rPr>
      </w:pPr>
      <w:r>
        <w:rPr>
          <w:rFonts w:ascii="宋体" w:hAnsi="宋体"/>
          <w:color w:val="000000"/>
          <w:sz w:val="24"/>
        </w:rPr>
        <w:t>（2）流通受限证券与上文所述的流动性受限资产的范围并不完全一致</w:t>
      </w:r>
      <w:r>
        <w:rPr>
          <w:rFonts w:hint="eastAsia" w:ascii="宋体" w:hAnsi="宋体"/>
          <w:color w:val="000000"/>
          <w:sz w:val="24"/>
        </w:rPr>
        <w:t>，</w:t>
      </w:r>
      <w:r>
        <w:rPr>
          <w:rFonts w:ascii="宋体" w:hAnsi="宋体"/>
          <w:color w:val="000000"/>
          <w:sz w:val="24"/>
        </w:rPr>
        <w:t>包括由《上市公司证券发行注册管理办法》规范的非公开发行股票、公开发行股票网下配售部分等在发行时明确一定期限锁定期的可交易证券</w:t>
      </w:r>
      <w:r>
        <w:rPr>
          <w:rFonts w:hint="eastAsia" w:ascii="宋体" w:hAnsi="宋体"/>
          <w:color w:val="000000"/>
          <w:sz w:val="24"/>
        </w:rPr>
        <w:t>，</w:t>
      </w:r>
      <w:r>
        <w:rPr>
          <w:rFonts w:ascii="宋体" w:hAnsi="宋体"/>
          <w:color w:val="000000"/>
          <w:sz w:val="24"/>
        </w:rPr>
        <w:t>不包括由于发布重大消息或其他原因而临时停牌的证券、已发行未上市证券、回购交易中的质押券等流通受限证券。</w:t>
      </w:r>
    </w:p>
    <w:p w14:paraId="527C2983">
      <w:pPr>
        <w:spacing w:before="156" w:line="360" w:lineRule="auto"/>
        <w:ind w:firstLine="480" w:firstLineChars="200"/>
        <w:rPr>
          <w:sz w:val="24"/>
        </w:rPr>
      </w:pPr>
      <w:r>
        <w:rPr>
          <w:rFonts w:ascii="宋体" w:hAnsi="宋体"/>
          <w:color w:val="000000"/>
          <w:sz w:val="24"/>
        </w:rPr>
        <w:t>（3）基金管理人应在基金首次投资流通受限证券前</w:t>
      </w:r>
      <w:r>
        <w:rPr>
          <w:rFonts w:hint="eastAsia" w:ascii="宋体" w:hAnsi="宋体"/>
          <w:color w:val="000000"/>
          <w:sz w:val="24"/>
        </w:rPr>
        <w:t>，</w:t>
      </w:r>
      <w:r>
        <w:rPr>
          <w:rFonts w:ascii="宋体" w:hAnsi="宋体"/>
          <w:color w:val="000000"/>
          <w:sz w:val="24"/>
        </w:rPr>
        <w:t>向基金托管人提供经基金管理人董事会批准的有关基金投资流通受限证券的投资决策流程、风险控制制度。基金投资非公开发行股票</w:t>
      </w:r>
      <w:r>
        <w:rPr>
          <w:rFonts w:hint="eastAsia" w:ascii="宋体" w:hAnsi="宋体"/>
          <w:color w:val="000000"/>
          <w:sz w:val="24"/>
        </w:rPr>
        <w:t>，</w:t>
      </w:r>
      <w:r>
        <w:rPr>
          <w:rFonts w:ascii="宋体" w:hAnsi="宋体"/>
          <w:color w:val="000000"/>
          <w:sz w:val="24"/>
        </w:rPr>
        <w:t>基金管理人还应提供基金管理人董事会批准的流动性风险处置预案。上述资料应包括但不限于基金投资流通受限证券的投资额度和投资比例控制情况。基金管理人应至少于首次执行投资指令之前两个工作日将上述资料书面发至基金托管人</w:t>
      </w:r>
      <w:r>
        <w:rPr>
          <w:rFonts w:hint="eastAsia" w:ascii="宋体" w:hAnsi="宋体"/>
          <w:color w:val="000000"/>
          <w:sz w:val="24"/>
        </w:rPr>
        <w:t>，</w:t>
      </w:r>
      <w:r>
        <w:rPr>
          <w:rFonts w:ascii="宋体" w:hAnsi="宋体"/>
          <w:color w:val="000000"/>
          <w:sz w:val="24"/>
        </w:rPr>
        <w:t>保证基金托管人有足够的时间进行审核。基金托管人应在收到上述资料后两个工作日内</w:t>
      </w:r>
      <w:r>
        <w:rPr>
          <w:rFonts w:hint="eastAsia" w:ascii="宋体" w:hAnsi="宋体"/>
          <w:color w:val="000000"/>
          <w:sz w:val="24"/>
        </w:rPr>
        <w:t>，</w:t>
      </w:r>
      <w:r>
        <w:rPr>
          <w:rFonts w:ascii="宋体" w:hAnsi="宋体"/>
          <w:color w:val="000000"/>
          <w:sz w:val="24"/>
        </w:rPr>
        <w:t>以书面或其他双方认可的方式确认收到上述资料。</w:t>
      </w:r>
    </w:p>
    <w:p w14:paraId="247FD515">
      <w:pPr>
        <w:spacing w:before="156" w:line="360" w:lineRule="auto"/>
        <w:ind w:left="105" w:firstLine="480" w:firstLineChars="200"/>
        <w:rPr>
          <w:sz w:val="24"/>
        </w:rPr>
      </w:pPr>
      <w:r>
        <w:rPr>
          <w:rFonts w:ascii="宋体" w:hAnsi="宋体"/>
          <w:color w:val="000000"/>
          <w:sz w:val="24"/>
        </w:rPr>
        <w:t>（4）基金投资流通受限证券前</w:t>
      </w:r>
      <w:r>
        <w:rPr>
          <w:rFonts w:hint="eastAsia" w:ascii="宋体" w:hAnsi="宋体"/>
          <w:color w:val="000000"/>
          <w:sz w:val="24"/>
        </w:rPr>
        <w:t>，</w:t>
      </w:r>
      <w:r>
        <w:rPr>
          <w:rFonts w:ascii="宋体" w:hAnsi="宋体"/>
          <w:color w:val="000000"/>
          <w:sz w:val="24"/>
        </w:rPr>
        <w:t>基金管理人应向基金托管人提供符合法律法规要求的有关书面信息</w:t>
      </w:r>
      <w:r>
        <w:rPr>
          <w:rFonts w:hint="eastAsia" w:ascii="宋体" w:hAnsi="宋体"/>
          <w:color w:val="000000"/>
          <w:sz w:val="24"/>
        </w:rPr>
        <w:t>，</w:t>
      </w:r>
      <w:r>
        <w:rPr>
          <w:rFonts w:ascii="宋体" w:hAnsi="宋体"/>
          <w:color w:val="000000"/>
          <w:sz w:val="24"/>
        </w:rPr>
        <w:t>包括但不限于拟发行证券主体的中国证监会批准文件、发行证券数量、发行价格、锁定期</w:t>
      </w:r>
      <w:r>
        <w:rPr>
          <w:rFonts w:hint="eastAsia" w:ascii="宋体" w:hAnsi="宋体"/>
          <w:color w:val="000000"/>
          <w:sz w:val="24"/>
        </w:rPr>
        <w:t>，</w:t>
      </w:r>
      <w:r>
        <w:rPr>
          <w:rFonts w:ascii="宋体" w:hAnsi="宋体"/>
          <w:color w:val="000000"/>
          <w:sz w:val="24"/>
        </w:rPr>
        <w:t>基金拟认购的数量、价格、总成本、总成本占基金资产净值的比例、已持有流通受限证券市值占资产净值的比例、资金划付时间等。基金管理人应保证上述信息的真实、完整</w:t>
      </w:r>
      <w:r>
        <w:rPr>
          <w:rFonts w:hint="eastAsia" w:ascii="宋体" w:hAnsi="宋体"/>
          <w:color w:val="000000"/>
          <w:sz w:val="24"/>
        </w:rPr>
        <w:t>，</w:t>
      </w:r>
      <w:r>
        <w:rPr>
          <w:rFonts w:ascii="宋体" w:hAnsi="宋体"/>
          <w:color w:val="000000"/>
          <w:sz w:val="24"/>
        </w:rPr>
        <w:t>并应至少于拟执行投资指令前两个工作日将上述信息书面发至基金托管人</w:t>
      </w:r>
      <w:r>
        <w:rPr>
          <w:rFonts w:hint="eastAsia" w:ascii="宋体" w:hAnsi="宋体"/>
          <w:color w:val="000000"/>
          <w:sz w:val="24"/>
        </w:rPr>
        <w:t>，</w:t>
      </w:r>
      <w:r>
        <w:rPr>
          <w:rFonts w:ascii="宋体" w:hAnsi="宋体"/>
          <w:color w:val="000000"/>
          <w:sz w:val="24"/>
        </w:rPr>
        <w:t>保证基金托管人有足够的时间进行审核。</w:t>
      </w:r>
    </w:p>
    <w:p w14:paraId="168EC068">
      <w:pPr>
        <w:spacing w:before="156" w:line="360" w:lineRule="auto"/>
        <w:ind w:left="105" w:firstLine="480" w:firstLineChars="200"/>
        <w:rPr>
          <w:sz w:val="24"/>
        </w:rPr>
      </w:pPr>
      <w:r>
        <w:rPr>
          <w:rFonts w:ascii="宋体" w:hAnsi="宋体"/>
          <w:color w:val="000000"/>
          <w:sz w:val="24"/>
        </w:rPr>
        <w:t>（5）基金托管人应对基金管理人提供的有关书面信息进行审核，基金托管人认为上述资料可能导致基金投资出现风险的</w:t>
      </w:r>
      <w:r>
        <w:rPr>
          <w:rFonts w:hint="eastAsia" w:ascii="宋体" w:hAnsi="宋体"/>
          <w:color w:val="000000"/>
          <w:sz w:val="24"/>
        </w:rPr>
        <w:t>，</w:t>
      </w:r>
      <w:r>
        <w:rPr>
          <w:rFonts w:ascii="宋体" w:hAnsi="宋体"/>
          <w:color w:val="000000"/>
          <w:sz w:val="24"/>
        </w:rPr>
        <w:t>有权要求基金管理人在投资流通受限证券前就该风险的消除或防范措施进行补充书面说明</w:t>
      </w:r>
      <w:r>
        <w:rPr>
          <w:rFonts w:hint="eastAsia" w:ascii="宋体" w:hAnsi="宋体"/>
          <w:color w:val="000000"/>
          <w:sz w:val="24"/>
        </w:rPr>
        <w:t>，</w:t>
      </w:r>
      <w:r>
        <w:rPr>
          <w:rFonts w:ascii="宋体" w:hAnsi="宋体"/>
          <w:color w:val="000000"/>
          <w:sz w:val="24"/>
        </w:rPr>
        <w:t>并保留查看基金管理人风险管理部门就基金投资流通受限证券出具的风险评估报告等备查资料的权利。否则</w:t>
      </w:r>
      <w:r>
        <w:rPr>
          <w:rFonts w:hint="eastAsia" w:ascii="宋体" w:hAnsi="宋体"/>
          <w:color w:val="000000"/>
          <w:sz w:val="24"/>
        </w:rPr>
        <w:t>，</w:t>
      </w:r>
      <w:r>
        <w:rPr>
          <w:rFonts w:ascii="宋体" w:hAnsi="宋体"/>
          <w:color w:val="000000"/>
          <w:sz w:val="24"/>
        </w:rPr>
        <w:t>基金托管人有权拒绝执行有关指令。因拒绝执行该指令造成基金财产损失的</w:t>
      </w:r>
      <w:r>
        <w:rPr>
          <w:rFonts w:hint="eastAsia" w:ascii="宋体" w:hAnsi="宋体"/>
          <w:color w:val="000000"/>
          <w:sz w:val="24"/>
        </w:rPr>
        <w:t>，</w:t>
      </w:r>
      <w:r>
        <w:rPr>
          <w:rFonts w:ascii="宋体" w:hAnsi="宋体"/>
          <w:color w:val="000000"/>
          <w:sz w:val="24"/>
        </w:rPr>
        <w:t>基金托管人不承担责任</w:t>
      </w:r>
      <w:r>
        <w:rPr>
          <w:rFonts w:hint="eastAsia" w:ascii="宋体" w:hAnsi="宋体"/>
          <w:color w:val="000000"/>
          <w:sz w:val="24"/>
        </w:rPr>
        <w:t>，</w:t>
      </w:r>
      <w:r>
        <w:rPr>
          <w:rFonts w:ascii="宋体" w:hAnsi="宋体"/>
          <w:color w:val="000000"/>
          <w:sz w:val="24"/>
        </w:rPr>
        <w:t>并有权报告中国证监会。</w:t>
      </w:r>
    </w:p>
    <w:p w14:paraId="2DA44C6B">
      <w:pPr>
        <w:tabs>
          <w:tab w:val="left" w:pos="1260"/>
        </w:tabs>
        <w:spacing w:before="156" w:line="360" w:lineRule="auto"/>
        <w:ind w:firstLine="480" w:firstLineChars="200"/>
        <w:rPr>
          <w:rFonts w:ascii="宋体"/>
          <w:b/>
          <w:sz w:val="24"/>
        </w:rPr>
      </w:pPr>
      <w:r>
        <w:rPr>
          <w:rFonts w:ascii="宋体" w:hAnsi="宋体"/>
          <w:color w:val="000000"/>
          <w:sz w:val="24"/>
        </w:rPr>
        <w:t>如基金管理人和基金托管人无法达成一致</w:t>
      </w:r>
      <w:r>
        <w:rPr>
          <w:rFonts w:hint="eastAsia" w:ascii="宋体" w:hAnsi="宋体"/>
          <w:color w:val="000000"/>
          <w:sz w:val="24"/>
        </w:rPr>
        <w:t>，</w:t>
      </w:r>
      <w:r>
        <w:rPr>
          <w:rFonts w:ascii="宋体" w:hAnsi="宋体"/>
          <w:color w:val="000000"/>
          <w:sz w:val="24"/>
        </w:rPr>
        <w:t>应及时上报中国证监会请求解决。如果基金托管人切实履行监督职责</w:t>
      </w:r>
      <w:r>
        <w:rPr>
          <w:rFonts w:hint="eastAsia" w:ascii="宋体" w:hAnsi="宋体"/>
          <w:color w:val="000000"/>
          <w:sz w:val="24"/>
        </w:rPr>
        <w:t>，</w:t>
      </w:r>
      <w:r>
        <w:rPr>
          <w:rFonts w:ascii="宋体" w:hAnsi="宋体"/>
          <w:color w:val="000000"/>
          <w:sz w:val="24"/>
        </w:rPr>
        <w:t>则不承担责任。</w:t>
      </w:r>
    </w:p>
    <w:p w14:paraId="56B281ED">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7.基金管理人运用基金财产参与转融通证券出借业务，应当遵守审慎经营原则，配备技术系统和专业人员，制定科学合理的投资策略和风险管理制度，完善业务流程，有效防范和控制风险，基金托管人将对基金参与出借业务进行监督和复核</w:t>
      </w:r>
      <w:r>
        <w:rPr>
          <w:rFonts w:hint="eastAsia" w:ascii="宋体" w:hAnsi="宋体"/>
          <w:b/>
          <w:bCs/>
          <w:sz w:val="24"/>
        </w:rPr>
        <w:t>。</w:t>
      </w:r>
    </w:p>
    <w:p w14:paraId="3A763B23">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8.基金托管人根据法律法规的规定及《基金合同》和本协议的约定，对基金投资其他方面进行监督。</w:t>
      </w:r>
    </w:p>
    <w:p w14:paraId="738EA906">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w:t>
      </w:r>
    </w:p>
    <w:p w14:paraId="54604870">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14:paraId="57F68DE6">
      <w:pPr>
        <w:tabs>
          <w:tab w:val="left" w:pos="1260"/>
        </w:tabs>
        <w:spacing w:line="360" w:lineRule="auto"/>
        <w:ind w:firstLine="480" w:firstLineChars="200"/>
        <w:rPr>
          <w:rFonts w:ascii="宋体"/>
          <w:sz w:val="24"/>
        </w:rPr>
      </w:pPr>
      <w:r>
        <w:rPr>
          <w:rFonts w:ascii="宋体" w:hAnsi="宋体"/>
          <w:sz w:val="24"/>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7B84BF2E">
      <w:pPr>
        <w:tabs>
          <w:tab w:val="left" w:pos="1260"/>
        </w:tabs>
        <w:spacing w:line="360" w:lineRule="auto"/>
        <w:ind w:firstLine="480" w:firstLineChars="200"/>
        <w:rPr>
          <w:rFonts w:ascii="宋体"/>
          <w:sz w:val="24"/>
        </w:rPr>
      </w:pPr>
      <w:r>
        <w:rPr>
          <w:rFonts w:ascii="宋体" w:hAnsi="宋体"/>
          <w:sz w:val="24"/>
        </w:rPr>
        <w:t>基金托管人发现基金管理人有重大违规行为，应立即报告中国证监会，同时通知基金管理人在限期内纠正。</w:t>
      </w:r>
    </w:p>
    <w:p w14:paraId="672028CF">
      <w:pPr>
        <w:tabs>
          <w:tab w:val="left" w:pos="1260"/>
        </w:tabs>
        <w:spacing w:line="360" w:lineRule="auto"/>
        <w:ind w:firstLine="480" w:firstLineChars="200"/>
        <w:rPr>
          <w:rFonts w:ascii="宋体"/>
          <w:sz w:val="24"/>
        </w:rPr>
      </w:pPr>
      <w:r>
        <w:rPr>
          <w:rFonts w:ascii="宋体" w:hAnsi="宋体"/>
          <w:sz w:val="24"/>
        </w:rPr>
        <w:t>基金托管人发现基金管理人的指令违反法律、行政法规和其他有关规定，或者违反《基金合同》约定的，应当拒绝执行，立即通知基金管理人，并按规定向中国证监会报告。</w:t>
      </w:r>
    </w:p>
    <w:p w14:paraId="2F2F63F7">
      <w:pPr>
        <w:tabs>
          <w:tab w:val="left" w:pos="1260"/>
        </w:tabs>
        <w:spacing w:line="360" w:lineRule="auto"/>
        <w:ind w:firstLine="480" w:firstLineChars="200"/>
        <w:rPr>
          <w:rFonts w:ascii="宋体"/>
          <w:sz w:val="24"/>
        </w:rPr>
      </w:pPr>
      <w:r>
        <w:rPr>
          <w:rFonts w:ascii="宋体" w:hAnsi="宋体"/>
          <w:sz w:val="24"/>
        </w:rPr>
        <w:t>基金托管人发现基金管理人依据交易程序已经生效的指令违反法律、行政法规和其他有关规定，或者违反《基金合同》约定的，应当立即通知基金管理人，并按规定向中国证监会报告。</w:t>
      </w:r>
      <w:bookmarkStart w:id="26" w:name="_Toc125892440"/>
    </w:p>
    <w:p w14:paraId="7D96C408">
      <w:pPr>
        <w:pStyle w:val="2"/>
      </w:pPr>
      <w:bookmarkStart w:id="27" w:name="_Toc65162003"/>
      <w:r>
        <w:t>四、基金管理人对基金托管人的业务核查</w:t>
      </w:r>
      <w:bookmarkEnd w:id="26"/>
      <w:bookmarkEnd w:id="27"/>
    </w:p>
    <w:p w14:paraId="7F4DA068">
      <w:pPr>
        <w:tabs>
          <w:tab w:val="left" w:pos="1260"/>
        </w:tabs>
        <w:spacing w:line="360" w:lineRule="auto"/>
        <w:ind w:firstLine="480" w:firstLineChars="200"/>
        <w:rPr>
          <w:rFonts w:ascii="宋体"/>
          <w:sz w:val="24"/>
        </w:rPr>
      </w:pPr>
      <w:r>
        <w:rPr>
          <w:rFonts w:ascii="宋体" w:hAnsi="宋体"/>
          <w:sz w:val="24"/>
        </w:rPr>
        <w:t>根据《基金法》及其他有关法规、《基金合同》和本协议规定，基金管理人对基金托管人履行托管职责的情况进行核查，核查事项包括但不限于基金托管人是否安全保管基金财产、开立基金财产的</w:t>
      </w:r>
      <w:bookmarkStart w:id="28" w:name="_Hlk181866620"/>
      <w:r>
        <w:rPr>
          <w:rFonts w:ascii="宋体" w:hAnsi="宋体"/>
          <w:sz w:val="24"/>
        </w:rPr>
        <w:t>资金账户、证券账户及债券托管账户</w:t>
      </w:r>
      <w:bookmarkEnd w:id="28"/>
      <w:r>
        <w:rPr>
          <w:rFonts w:ascii="宋体" w:hAnsi="宋体"/>
          <w:sz w:val="24"/>
        </w:rPr>
        <w:t>等投资所需账户，是否及时、准确复核基金管理人计算的基金资产净值和基金份额净值，是否根据基金管理人指令办理清算交收，是否按照法规规定和《基金合同》规定进行相关信息披露和监督基金投资运作等行为。</w:t>
      </w:r>
    </w:p>
    <w:p w14:paraId="4D93FE5C">
      <w:pPr>
        <w:tabs>
          <w:tab w:val="left" w:pos="1260"/>
        </w:tabs>
        <w:spacing w:line="360" w:lineRule="auto"/>
        <w:ind w:firstLine="480" w:firstLineChars="200"/>
        <w:rPr>
          <w:rFonts w:ascii="宋体"/>
          <w:sz w:val="24"/>
        </w:rPr>
      </w:pPr>
      <w:r>
        <w:rPr>
          <w:rFonts w:ascii="宋体" w:hAnsi="宋体"/>
          <w:sz w:val="24"/>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32346A16">
      <w:pPr>
        <w:tabs>
          <w:tab w:val="left" w:pos="1260"/>
        </w:tabs>
        <w:spacing w:line="360" w:lineRule="auto"/>
        <w:ind w:firstLine="480" w:firstLineChars="200"/>
        <w:rPr>
          <w:rFonts w:ascii="宋体"/>
          <w:sz w:val="24"/>
        </w:rPr>
      </w:pPr>
      <w:r>
        <w:rPr>
          <w:rFonts w:ascii="宋体" w:hAnsi="宋体"/>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1FA03BBB">
      <w:pPr>
        <w:tabs>
          <w:tab w:val="left" w:pos="1260"/>
        </w:tabs>
        <w:spacing w:line="360" w:lineRule="auto"/>
        <w:ind w:firstLine="480" w:firstLineChars="200"/>
        <w:rPr>
          <w:rFonts w:ascii="宋体"/>
          <w:sz w:val="24"/>
        </w:rPr>
      </w:pPr>
      <w:r>
        <w:rPr>
          <w:rFonts w:ascii="宋体" w:hAnsi="宋体"/>
          <w:sz w:val="24"/>
        </w:rPr>
        <w:t>基金管理人发现基金托管人有重大违规行为，应立即报告中国证监会，同时通知基金托管人在限期内纠正。</w:t>
      </w:r>
    </w:p>
    <w:p w14:paraId="4455726B">
      <w:pPr>
        <w:pStyle w:val="2"/>
      </w:pPr>
      <w:bookmarkStart w:id="29" w:name="_Toc65162004"/>
      <w:bookmarkStart w:id="30" w:name="_Toc125892441"/>
      <w:bookmarkStart w:id="31" w:name="_Toc523829995"/>
      <w:bookmarkStart w:id="32" w:name="_Toc22454437"/>
      <w:bookmarkStart w:id="33" w:name="_Toc466788854"/>
      <w:r>
        <w:t>五、基金财产的保管</w:t>
      </w:r>
      <w:bookmarkEnd w:id="29"/>
      <w:bookmarkEnd w:id="30"/>
      <w:bookmarkEnd w:id="31"/>
      <w:bookmarkEnd w:id="32"/>
      <w:bookmarkEnd w:id="33"/>
    </w:p>
    <w:p w14:paraId="1E29EB45">
      <w:pPr>
        <w:tabs>
          <w:tab w:val="left" w:pos="3780"/>
        </w:tabs>
        <w:autoSpaceDE w:val="0"/>
        <w:autoSpaceDN w:val="0"/>
        <w:spacing w:before="156" w:after="156" w:line="360" w:lineRule="auto"/>
        <w:outlineLvl w:val="0"/>
        <w:rPr>
          <w:rFonts w:ascii="宋体"/>
          <w:b/>
          <w:bCs/>
          <w:sz w:val="24"/>
        </w:rPr>
      </w:pPr>
      <w:bookmarkStart w:id="34" w:name="_Toc37159173"/>
      <w:bookmarkStart w:id="35" w:name="_Toc77662997"/>
      <w:r>
        <w:rPr>
          <w:rFonts w:ascii="宋体" w:hAnsi="宋体"/>
          <w:b/>
          <w:bCs/>
          <w:sz w:val="24"/>
        </w:rPr>
        <w:t>（一）基金财产保管的原则</w:t>
      </w:r>
      <w:bookmarkEnd w:id="34"/>
      <w:bookmarkEnd w:id="35"/>
    </w:p>
    <w:p w14:paraId="3A4CCDB2">
      <w:pPr>
        <w:tabs>
          <w:tab w:val="left" w:pos="1260"/>
        </w:tabs>
        <w:spacing w:line="360" w:lineRule="auto"/>
        <w:ind w:firstLine="480" w:firstLineChars="200"/>
        <w:rPr>
          <w:rFonts w:ascii="宋体"/>
          <w:sz w:val="24"/>
        </w:rPr>
      </w:pPr>
      <w:r>
        <w:rPr>
          <w:rFonts w:ascii="宋体" w:hAnsi="宋体"/>
          <w:sz w:val="24"/>
        </w:rPr>
        <w:t>1.基金托管人应安全保管基金财产，未经基金管理人的指令，不得自行运用、处分、分配基金的任何资产，非因基金财产本身承担的债务，不得对基金财产强制执行。</w:t>
      </w:r>
    </w:p>
    <w:p w14:paraId="147A530B">
      <w:pPr>
        <w:tabs>
          <w:tab w:val="left" w:pos="1260"/>
        </w:tabs>
        <w:spacing w:line="360" w:lineRule="auto"/>
        <w:ind w:firstLine="480" w:firstLineChars="200"/>
        <w:rPr>
          <w:rFonts w:ascii="宋体"/>
          <w:sz w:val="24"/>
        </w:rPr>
      </w:pPr>
      <w:r>
        <w:rPr>
          <w:rFonts w:ascii="宋体" w:hAnsi="宋体"/>
          <w:sz w:val="24"/>
        </w:rPr>
        <w:t>2.基金财产应独立于基金管理人、基金托管人</w:t>
      </w:r>
      <w:r>
        <w:rPr>
          <w:rFonts w:hint="eastAsia" w:ascii="宋体" w:hAnsi="宋体"/>
          <w:sz w:val="24"/>
        </w:rPr>
        <w:t>、证券经纪机构</w:t>
      </w:r>
      <w:r>
        <w:rPr>
          <w:rFonts w:ascii="宋体" w:hAnsi="宋体"/>
          <w:sz w:val="24"/>
        </w:rPr>
        <w:t>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27E2AC07">
      <w:pPr>
        <w:tabs>
          <w:tab w:val="left" w:pos="1260"/>
        </w:tabs>
        <w:spacing w:line="360" w:lineRule="auto"/>
        <w:ind w:firstLine="480" w:firstLineChars="200"/>
        <w:rPr>
          <w:rFonts w:ascii="宋体"/>
          <w:sz w:val="24"/>
        </w:rPr>
      </w:pPr>
      <w:r>
        <w:rPr>
          <w:rFonts w:ascii="宋体" w:hAnsi="宋体"/>
          <w:sz w:val="24"/>
        </w:rPr>
        <w:t>3.基金托管人按照规定开立基金财产的资金账户、证券账户</w:t>
      </w:r>
      <w:bookmarkStart w:id="36" w:name="_Hlk216956260"/>
      <w:r>
        <w:rPr>
          <w:rFonts w:ascii="宋体" w:hAnsi="宋体"/>
          <w:sz w:val="24"/>
        </w:rPr>
        <w:t>和债券托管账户</w:t>
      </w:r>
      <w:bookmarkEnd w:id="36"/>
      <w:r>
        <w:rPr>
          <w:rFonts w:ascii="宋体" w:hAnsi="宋体"/>
          <w:sz w:val="24"/>
        </w:rPr>
        <w:t>等投资所需账户</w:t>
      </w:r>
      <w:r>
        <w:rPr>
          <w:spacing w:val="-4"/>
          <w:sz w:val="24"/>
        </w:rPr>
        <w:t>，基金管理人和基金托管人按照规定</w:t>
      </w:r>
      <w:r>
        <w:rPr>
          <w:rFonts w:ascii="宋体" w:hAnsi="宋体"/>
          <w:sz w:val="24"/>
        </w:rPr>
        <w:t>开立期货资金账户。</w:t>
      </w:r>
    </w:p>
    <w:p w14:paraId="7F8B4D4F">
      <w:pPr>
        <w:tabs>
          <w:tab w:val="left" w:pos="1260"/>
        </w:tabs>
        <w:spacing w:line="360" w:lineRule="auto"/>
        <w:ind w:firstLine="480" w:firstLineChars="200"/>
        <w:rPr>
          <w:rFonts w:ascii="宋体"/>
          <w:sz w:val="24"/>
        </w:rPr>
      </w:pPr>
      <w:r>
        <w:rPr>
          <w:rFonts w:ascii="宋体" w:hAnsi="宋体"/>
          <w:sz w:val="24"/>
        </w:rPr>
        <w:t>4.基金托管人对所托管的不同基金财产分别设置账户，与基金托管人的其他业务和其他基金的托管业务实行严格的分账管理，独立核算，确保基金财产的完整和独立。</w:t>
      </w:r>
    </w:p>
    <w:p w14:paraId="02031D4F">
      <w:pPr>
        <w:tabs>
          <w:tab w:val="left" w:pos="1260"/>
        </w:tabs>
        <w:spacing w:line="360" w:lineRule="auto"/>
        <w:ind w:firstLine="480" w:firstLineChars="200"/>
        <w:rPr>
          <w:rFonts w:ascii="宋体" w:hAnsi="宋体"/>
          <w:sz w:val="24"/>
        </w:rPr>
      </w:pPr>
      <w:r>
        <w:rPr>
          <w:rFonts w:ascii="宋体" w:hAnsi="宋体"/>
          <w:sz w:val="24"/>
        </w:rPr>
        <w:t>5.对于因为基金投资产生的应收资产和基金申购过程中产生的应收资产，应由基金管理人负责与有关当事人确定到账日期并通知基金托管人，到账日基金资产没有到达基金银行存款账户（即资金账户，下同）的，基金托管人应及时通知基金管理人采取措施进行催收。由此给基金造成损失的，基金管理人应负责向有关当事人追偿基金的损失。</w:t>
      </w:r>
      <w:bookmarkStart w:id="37" w:name="_Toc77662998"/>
      <w:bookmarkStart w:id="38" w:name="_Toc37159174"/>
      <w:r>
        <w:rPr>
          <w:rFonts w:ascii="宋体" w:hAnsi="宋体"/>
          <w:sz w:val="24"/>
        </w:rPr>
        <w:t>基金托管人对此不承担责任。</w:t>
      </w:r>
    </w:p>
    <w:p w14:paraId="4BB0586E">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（二）基金募集资产的验证</w:t>
      </w:r>
      <w:bookmarkEnd w:id="37"/>
      <w:bookmarkEnd w:id="38"/>
    </w:p>
    <w:p w14:paraId="5541FE00">
      <w:pPr>
        <w:tabs>
          <w:tab w:val="left" w:pos="1260"/>
        </w:tabs>
        <w:spacing w:line="360" w:lineRule="auto"/>
        <w:ind w:firstLine="480" w:firstLineChars="200"/>
        <w:rPr>
          <w:rFonts w:ascii="宋体"/>
          <w:sz w:val="24"/>
        </w:rPr>
      </w:pPr>
      <w:r>
        <w:rPr>
          <w:rFonts w:ascii="宋体" w:hAnsi="宋体"/>
          <w:sz w:val="24"/>
        </w:rPr>
        <w:t>基金募集期届满或基金提前结束募集之日起10日内，由基金管理人聘请符合《中华人民共和国证券法》规定的会计师事务所进行验资，出具验资报告，出具的验资报告应由参加验资的2名以上（含2名）中国注册会计师签字有效。验资完成，基金管理人应将属于基金财产的全部资金划入基金托管人开立的基金银行存款账户，登记机构应当将网下股票认购所募集到的股票划入本基金的证券账户下，基金托管人在收到资金当日出具相关证明文件。</w:t>
      </w:r>
      <w:bookmarkStart w:id="39" w:name="_Toc77663000"/>
      <w:bookmarkStart w:id="40" w:name="_Toc37159176"/>
    </w:p>
    <w:p w14:paraId="4644432B">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（三）基金的银行存款账户的开立和管理</w:t>
      </w:r>
      <w:bookmarkEnd w:id="39"/>
      <w:bookmarkEnd w:id="40"/>
    </w:p>
    <w:p w14:paraId="798BC7DF">
      <w:pPr>
        <w:tabs>
          <w:tab w:val="left" w:pos="1260"/>
        </w:tabs>
        <w:spacing w:line="360" w:lineRule="auto"/>
        <w:ind w:firstLine="480" w:firstLineChars="200"/>
        <w:rPr>
          <w:rFonts w:ascii="宋体" w:hAnsi="宋体"/>
          <w:sz w:val="24"/>
        </w:rPr>
      </w:pPr>
      <w:r>
        <w:rPr>
          <w:rFonts w:hint="eastAsia" w:ascii="宋体" w:hAnsi="宋体"/>
          <w:sz w:val="24"/>
        </w:rPr>
        <w:t>1.基金托管人应负责本基金的银行存款账户的开设和管理。</w:t>
      </w:r>
    </w:p>
    <w:p w14:paraId="242B9935">
      <w:pPr>
        <w:tabs>
          <w:tab w:val="left" w:pos="1260"/>
        </w:tabs>
        <w:spacing w:line="360" w:lineRule="auto"/>
        <w:ind w:firstLine="480" w:firstLineChars="200"/>
        <w:rPr>
          <w:rFonts w:ascii="宋体" w:hAnsi="宋体"/>
          <w:sz w:val="24"/>
        </w:rPr>
      </w:pPr>
      <w:r>
        <w:rPr>
          <w:rFonts w:hint="eastAsia" w:ascii="宋体" w:hAnsi="宋体"/>
          <w:sz w:val="24"/>
        </w:rPr>
        <w:t>2.基金托管人以本基金的名义开设本基金的银行存款账户，账户名称以实际开立为准。本基金的银行预留印鉴由基金托管人保管和使用。本基金的一切货币收支活动，均需通过本基金的银行存款账户进行。</w:t>
      </w:r>
    </w:p>
    <w:p w14:paraId="34BE9998">
      <w:pPr>
        <w:tabs>
          <w:tab w:val="left" w:pos="1260"/>
        </w:tabs>
        <w:spacing w:line="360" w:lineRule="auto"/>
        <w:ind w:firstLine="480" w:firstLineChars="200"/>
        <w:rPr>
          <w:rFonts w:ascii="宋体" w:hAnsi="宋体"/>
          <w:sz w:val="24"/>
        </w:rPr>
      </w:pPr>
      <w:r>
        <w:rPr>
          <w:rFonts w:hint="eastAsia" w:ascii="宋体" w:hAnsi="宋体"/>
          <w:sz w:val="24"/>
        </w:rPr>
        <w:t>3.本基金银行存款账户的开立和使用，限于满足开展本基金业务的需要。基金托管人和基金管理人不得假借本基金的名义开立其他任何银行存款账户；亦不得使用本基金的银行存款账户进行本基金业务以外的活动。</w:t>
      </w:r>
    </w:p>
    <w:p w14:paraId="5A6E0BEA">
      <w:pPr>
        <w:tabs>
          <w:tab w:val="left" w:pos="1260"/>
        </w:tabs>
        <w:spacing w:line="360" w:lineRule="auto"/>
        <w:ind w:firstLine="480" w:firstLineChars="200"/>
        <w:rPr>
          <w:rFonts w:ascii="宋体" w:hAnsi="宋体"/>
          <w:sz w:val="24"/>
        </w:rPr>
      </w:pPr>
      <w:r>
        <w:rPr>
          <w:rFonts w:hint="eastAsia" w:ascii="宋体" w:hAnsi="宋体"/>
          <w:sz w:val="24"/>
        </w:rPr>
        <w:t>4.基金银行存款账户的管理应符合法律法规的有关规定。</w:t>
      </w:r>
    </w:p>
    <w:p w14:paraId="2D0B2305">
      <w:pPr>
        <w:tabs>
          <w:tab w:val="left" w:pos="3780"/>
        </w:tabs>
        <w:autoSpaceDE w:val="0"/>
        <w:autoSpaceDN w:val="0"/>
        <w:spacing w:before="156" w:after="156" w:line="360" w:lineRule="auto"/>
        <w:outlineLvl w:val="0"/>
        <w:rPr>
          <w:rFonts w:ascii="宋体"/>
          <w:b/>
          <w:bCs/>
          <w:sz w:val="24"/>
        </w:rPr>
      </w:pPr>
      <w:bookmarkStart w:id="41" w:name="_Toc37159177"/>
      <w:bookmarkStart w:id="42" w:name="_Toc77663001"/>
      <w:r>
        <w:rPr>
          <w:rFonts w:ascii="宋体" w:hAnsi="宋体"/>
          <w:b/>
          <w:bCs/>
          <w:sz w:val="24"/>
        </w:rPr>
        <w:t>（四）基金证券账户、证券资金账户的开立和管理</w:t>
      </w:r>
      <w:bookmarkEnd w:id="41"/>
      <w:bookmarkEnd w:id="42"/>
    </w:p>
    <w:p w14:paraId="5D5659F7">
      <w:pPr>
        <w:tabs>
          <w:tab w:val="left" w:pos="1260"/>
        </w:tabs>
        <w:spacing w:line="360" w:lineRule="auto"/>
        <w:ind w:firstLine="480" w:firstLineChars="200"/>
        <w:rPr>
          <w:rFonts w:ascii="宋体" w:hAnsi="宋体"/>
          <w:sz w:val="24"/>
        </w:rPr>
      </w:pPr>
      <w:bookmarkStart w:id="43" w:name="_Toc466788855"/>
      <w:bookmarkStart w:id="44" w:name="_Toc523829996"/>
      <w:bookmarkStart w:id="45" w:name="_Toc125892442"/>
      <w:r>
        <w:rPr>
          <w:rFonts w:ascii="宋体" w:hAnsi="宋体"/>
          <w:sz w:val="24"/>
        </w:rPr>
        <w:t>1.基金托管人应当代表本基金，以基金托管人和本基金联名的方式在中国证券登记结算有限责任公司开设证券账户。</w:t>
      </w:r>
    </w:p>
    <w:p w14:paraId="229105B0">
      <w:pPr>
        <w:tabs>
          <w:tab w:val="left" w:pos="1260"/>
        </w:tabs>
        <w:spacing w:line="360" w:lineRule="auto"/>
        <w:ind w:firstLine="480" w:firstLineChars="200"/>
        <w:rPr>
          <w:rFonts w:ascii="宋体" w:hAnsi="宋体"/>
          <w:sz w:val="24"/>
        </w:rPr>
      </w:pPr>
      <w:r>
        <w:rPr>
          <w:rFonts w:ascii="宋体" w:hAnsi="宋体"/>
          <w:sz w:val="24"/>
        </w:rPr>
        <w:t>2.基金证券账户资产的管理和运用由基金管理人负责。</w:t>
      </w:r>
    </w:p>
    <w:p w14:paraId="51344797">
      <w:pPr>
        <w:tabs>
          <w:tab w:val="left" w:pos="1260"/>
        </w:tabs>
        <w:spacing w:line="360" w:lineRule="auto"/>
        <w:ind w:firstLine="480" w:firstLineChars="200"/>
        <w:rPr>
          <w:rFonts w:ascii="宋体" w:hAnsi="宋体"/>
          <w:bCs/>
          <w:sz w:val="24"/>
        </w:rPr>
      </w:pPr>
      <w:r>
        <w:rPr>
          <w:rFonts w:ascii="宋体" w:hAnsi="宋体"/>
          <w:sz w:val="24"/>
        </w:rPr>
        <w:t>3.</w:t>
      </w:r>
      <w:r>
        <w:rPr>
          <w:rFonts w:hint="eastAsia" w:ascii="宋体" w:hAnsi="宋体"/>
          <w:bCs/>
          <w:sz w:val="24"/>
        </w:rPr>
        <w:t>本基金采用“第三方存管”</w:t>
      </w:r>
      <w:r>
        <w:rPr>
          <w:rFonts w:ascii="宋体" w:hAnsi="宋体"/>
          <w:bCs/>
          <w:sz w:val="24"/>
        </w:rPr>
        <w:t>+</w:t>
      </w:r>
      <w:r>
        <w:rPr>
          <w:rFonts w:hint="eastAsia" w:ascii="宋体" w:hAnsi="宋体"/>
          <w:bCs/>
          <w:sz w:val="24"/>
        </w:rPr>
        <w:t>“托管”模式存管证券交易结算资金，基金管理人负责在证券经纪商开设基金证券交易资金账户，并通知基金托管人与开立的基金</w:t>
      </w:r>
      <w:r>
        <w:rPr>
          <w:rFonts w:hint="eastAsia" w:ascii="宋体" w:hAnsi="宋体"/>
          <w:sz w:val="24"/>
        </w:rPr>
        <w:t>银行存款</w:t>
      </w:r>
      <w:r>
        <w:rPr>
          <w:rFonts w:hint="eastAsia" w:ascii="宋体" w:hAnsi="宋体"/>
          <w:bCs/>
          <w:sz w:val="24"/>
        </w:rPr>
        <w:t>账户建立第三方存管关系，同时三方存管的银证转账密码应及时通知基金托管人并由其掌握，</w:t>
      </w:r>
      <w:r>
        <w:rPr>
          <w:rFonts w:ascii="宋体" w:hAnsi="宋体"/>
          <w:bCs/>
          <w:sz w:val="24"/>
        </w:rPr>
        <w:t>在基金运作期间不得变更基金证券交易资金账户与</w:t>
      </w:r>
      <w:r>
        <w:rPr>
          <w:rFonts w:hint="eastAsia" w:ascii="宋体" w:hAnsi="宋体"/>
          <w:sz w:val="24"/>
        </w:rPr>
        <w:t>银行存款</w:t>
      </w:r>
      <w:r>
        <w:rPr>
          <w:rFonts w:ascii="宋体" w:hAnsi="宋体"/>
          <w:bCs/>
          <w:sz w:val="24"/>
        </w:rPr>
        <w:t>账户之间的三方存管关系，未经</w:t>
      </w:r>
      <w:r>
        <w:rPr>
          <w:rFonts w:hint="eastAsia" w:ascii="宋体" w:hAnsi="宋体"/>
          <w:bCs/>
          <w:sz w:val="24"/>
        </w:rPr>
        <w:t>基金</w:t>
      </w:r>
      <w:r>
        <w:rPr>
          <w:rFonts w:ascii="宋体" w:hAnsi="宋体"/>
          <w:bCs/>
          <w:sz w:val="24"/>
        </w:rPr>
        <w:t>托管人同意，不得对该资金账户项下的证券资产进行转托管和撤指定。</w:t>
      </w:r>
    </w:p>
    <w:p w14:paraId="3164A384">
      <w:pPr>
        <w:tabs>
          <w:tab w:val="left" w:pos="1260"/>
        </w:tabs>
        <w:spacing w:line="360" w:lineRule="auto"/>
        <w:ind w:firstLine="480" w:firstLineChars="200"/>
        <w:rPr>
          <w:rFonts w:ascii="宋体" w:hAnsi="宋体"/>
          <w:sz w:val="24"/>
        </w:rPr>
      </w:pPr>
      <w:r>
        <w:rPr>
          <w:rFonts w:ascii="宋体" w:hAnsi="宋体"/>
          <w:sz w:val="24"/>
        </w:rPr>
        <w:t>4.由基金托管人持基金管理人与证券经纪机构签订的三方存管相关协议办理证券资金账户与本基金银行存款账户的银证签约手续，未经基金托管人书面同意，基金管理人不得将银证签约的指定银行结算账户（即本基金银行存款账户）变更为其他账户，否则，因此引起的法律后果及给本基金造成的损失全部由基金管理人承担。</w:t>
      </w:r>
    </w:p>
    <w:p w14:paraId="09BF0E81">
      <w:pPr>
        <w:tabs>
          <w:tab w:val="left" w:pos="1260"/>
        </w:tabs>
        <w:spacing w:line="360" w:lineRule="auto"/>
        <w:ind w:firstLine="480" w:firstLineChars="200"/>
        <w:rPr>
          <w:rFonts w:ascii="宋体" w:hAnsi="宋体"/>
          <w:sz w:val="24"/>
        </w:rPr>
      </w:pPr>
      <w:r>
        <w:rPr>
          <w:rFonts w:ascii="宋体" w:hAnsi="宋体"/>
          <w:sz w:val="24"/>
        </w:rPr>
        <w:t>5.本基金证券账户和证券资金账户的开立和使用，限于满足开展本基金业务的需要。基金托管人和基金管理人不得出借或未经另一方同意擅自转让本基金的证券账户和证券资金账户；亦不得使用本基金的证券账户和证券资金账户进行本基金业务以外的活动。</w:t>
      </w:r>
    </w:p>
    <w:p w14:paraId="47D135E4">
      <w:pPr>
        <w:tabs>
          <w:tab w:val="left" w:pos="3780"/>
        </w:tabs>
        <w:autoSpaceDE w:val="0"/>
        <w:autoSpaceDN w:val="0"/>
        <w:spacing w:before="156" w:after="156" w:line="360" w:lineRule="auto"/>
        <w:outlineLvl w:val="0"/>
        <w:rPr>
          <w:rFonts w:ascii="宋体"/>
          <w:b/>
          <w:bCs/>
          <w:sz w:val="24"/>
        </w:rPr>
      </w:pPr>
      <w:r>
        <w:rPr>
          <w:rFonts w:ascii="宋体" w:hAnsi="宋体"/>
          <w:b/>
          <w:bCs/>
          <w:sz w:val="24"/>
        </w:rPr>
        <w:t>（五）债券托管账户的开立和管理</w:t>
      </w:r>
    </w:p>
    <w:p w14:paraId="6B0FA8A8">
      <w:pPr>
        <w:tabs>
          <w:tab w:val="left" w:pos="1260"/>
        </w:tabs>
        <w:spacing w:line="360" w:lineRule="auto"/>
        <w:ind w:firstLine="480" w:firstLineChars="200"/>
        <w:rPr>
          <w:rFonts w:ascii="宋体"/>
          <w:sz w:val="24"/>
        </w:rPr>
      </w:pPr>
      <w:r>
        <w:rPr>
          <w:rFonts w:ascii="宋体" w:hAnsi="宋体"/>
          <w:sz w:val="24"/>
        </w:rPr>
        <w:t>1.基金合同生效后，基金管理人负责向中国人民银行进行报备，基金托管人在备案通过后在中央国债登记结算有限责任公司及银行间市场清算所股份有限公司以本基金的名义开立债券托管账户，并由基金托管人负责基金的债券及资金的清算。</w:t>
      </w:r>
      <w:r>
        <w:rPr>
          <w:rFonts w:ascii="宋体" w:hAnsi="宋体"/>
          <w:sz w:val="24"/>
          <w:szCs w:val="21"/>
        </w:rPr>
        <w:t>基金管理人负责申请基金进入全国银行间同业拆借市场进行交易，由基金管理人在中国外汇交易中心开设同业拆借市场交易</w:t>
      </w:r>
      <w:r>
        <w:rPr>
          <w:rFonts w:ascii="宋体" w:hAnsi="宋体"/>
          <w:sz w:val="24"/>
        </w:rPr>
        <w:t>账户</w:t>
      </w:r>
      <w:r>
        <w:rPr>
          <w:rFonts w:ascii="宋体" w:hAnsi="宋体"/>
          <w:sz w:val="24"/>
          <w:szCs w:val="21"/>
        </w:rPr>
        <w:t>。</w:t>
      </w:r>
    </w:p>
    <w:p w14:paraId="4E07E810">
      <w:pPr>
        <w:tabs>
          <w:tab w:val="left" w:pos="1260"/>
        </w:tabs>
        <w:spacing w:line="360" w:lineRule="auto"/>
        <w:ind w:firstLine="480" w:firstLineChars="200"/>
        <w:rPr>
          <w:rFonts w:ascii="宋体" w:hAnsi="宋体"/>
          <w:sz w:val="24"/>
        </w:rPr>
      </w:pPr>
      <w:r>
        <w:rPr>
          <w:rFonts w:ascii="宋体" w:hAnsi="宋体"/>
          <w:sz w:val="24"/>
        </w:rPr>
        <w:t>2.基金管理人代表基金签订全国银行间债券市场债券回购主协议，协议正本由基金管理人保存。</w:t>
      </w:r>
    </w:p>
    <w:p w14:paraId="3225C57F">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（六）</w:t>
      </w:r>
      <w:bookmarkStart w:id="46" w:name="_Toc17996120"/>
      <w:r>
        <w:rPr>
          <w:rFonts w:ascii="宋体" w:hAnsi="宋体"/>
          <w:b/>
          <w:bCs/>
          <w:sz w:val="24"/>
        </w:rPr>
        <w:t>期货相关账户的开立和管理</w:t>
      </w:r>
      <w:bookmarkEnd w:id="46"/>
    </w:p>
    <w:p w14:paraId="19F99409">
      <w:pPr>
        <w:spacing w:line="360" w:lineRule="auto"/>
        <w:ind w:firstLine="480" w:firstLineChars="200"/>
        <w:rPr>
          <w:rFonts w:ascii="宋体" w:hAnsi="宋体"/>
          <w:sz w:val="24"/>
        </w:rPr>
      </w:pPr>
      <w:r>
        <w:rPr>
          <w:rFonts w:ascii="宋体" w:hAnsi="宋体"/>
          <w:sz w:val="24"/>
        </w:rPr>
        <w:t>基金管理人、基金托管人应当按照相关规定开立期货资金账户，在中国金融期货交易所获取交易编码。期货资金账户名称及交易编码对应名称应按照有关规定设立。</w:t>
      </w:r>
    </w:p>
    <w:p w14:paraId="7420C017">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（七）</w:t>
      </w:r>
      <w:bookmarkStart w:id="47" w:name="_Toc17996121"/>
      <w:r>
        <w:rPr>
          <w:rFonts w:ascii="宋体" w:hAnsi="宋体"/>
          <w:b/>
          <w:bCs/>
          <w:sz w:val="24"/>
        </w:rPr>
        <w:t>基金投资银行存款账户的开立和管理</w:t>
      </w:r>
      <w:bookmarkEnd w:id="47"/>
    </w:p>
    <w:p w14:paraId="7BDEAA93">
      <w:pPr>
        <w:spacing w:line="360" w:lineRule="auto"/>
        <w:ind w:firstLine="464" w:firstLineChars="200"/>
        <w:rPr>
          <w:spacing w:val="-4"/>
          <w:sz w:val="24"/>
        </w:rPr>
      </w:pPr>
      <w:r>
        <w:rPr>
          <w:spacing w:val="-4"/>
          <w:sz w:val="24"/>
        </w:rPr>
        <w:t>存款账户必须以基金名义开立，账户名称为基金名称，存款账户开户文件上加盖预留印鉴（须包括基金托管人印章）及基金管理人公章。</w:t>
      </w:r>
    </w:p>
    <w:p w14:paraId="702A74ED">
      <w:pPr>
        <w:spacing w:line="360" w:lineRule="auto"/>
        <w:ind w:firstLine="464" w:firstLineChars="200"/>
        <w:rPr>
          <w:spacing w:val="-4"/>
          <w:sz w:val="24"/>
        </w:rPr>
      </w:pPr>
      <w:r>
        <w:rPr>
          <w:spacing w:val="-4"/>
          <w:sz w:val="24"/>
        </w:rPr>
        <w:t>本基金投资银行存款时，基金管理人应当与存款银行签订具体存款协议/存款确认单据，明确存款的类型、期限、利率、金额、账号、对账方式、支取方式、</w:t>
      </w:r>
      <w:r>
        <w:rPr>
          <w:spacing w:val="6"/>
          <w:sz w:val="24"/>
        </w:rPr>
        <w:t>存款到期指定收款账户</w:t>
      </w:r>
      <w:r>
        <w:rPr>
          <w:spacing w:val="-4"/>
          <w:sz w:val="24"/>
        </w:rPr>
        <w:t>等细则。</w:t>
      </w:r>
    </w:p>
    <w:p w14:paraId="3CD31418">
      <w:pPr>
        <w:spacing w:line="360" w:lineRule="auto"/>
        <w:ind w:firstLine="464" w:firstLineChars="200"/>
        <w:rPr>
          <w:spacing w:val="-4"/>
          <w:sz w:val="24"/>
        </w:rPr>
      </w:pPr>
      <w:r>
        <w:rPr>
          <w:spacing w:val="-4"/>
          <w:sz w:val="24"/>
        </w:rPr>
        <w:t>为防范特殊情况下的流动性风险，存款协议中应当约定提前支取条款。</w:t>
      </w:r>
    </w:p>
    <w:p w14:paraId="0813F77A">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（八）其他账户的开立和管理</w:t>
      </w:r>
    </w:p>
    <w:p w14:paraId="0D81431D">
      <w:pPr>
        <w:pStyle w:val="20"/>
      </w:pPr>
      <w: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73A35697">
      <w:pPr>
        <w:tabs>
          <w:tab w:val="left" w:pos="3780"/>
        </w:tabs>
        <w:autoSpaceDE w:val="0"/>
        <w:autoSpaceDN w:val="0"/>
        <w:spacing w:before="156" w:after="156" w:line="360" w:lineRule="auto"/>
        <w:outlineLvl w:val="0"/>
        <w:rPr>
          <w:rFonts w:ascii="宋体"/>
          <w:b/>
          <w:bCs/>
          <w:sz w:val="24"/>
        </w:rPr>
      </w:pPr>
      <w:r>
        <w:rPr>
          <w:rFonts w:ascii="宋体" w:hAnsi="宋体"/>
          <w:b/>
          <w:bCs/>
          <w:sz w:val="24"/>
        </w:rPr>
        <w:t>（九）基金财产投资的有关实物证券、银行存款定期存单等有价凭证的保管</w:t>
      </w:r>
    </w:p>
    <w:p w14:paraId="1023B7A6">
      <w:pPr>
        <w:tabs>
          <w:tab w:val="left" w:pos="1260"/>
        </w:tabs>
        <w:spacing w:line="360" w:lineRule="auto"/>
        <w:ind w:firstLine="480" w:firstLineChars="200"/>
        <w:rPr>
          <w:rFonts w:ascii="宋体"/>
          <w:color w:val="000000"/>
          <w:sz w:val="24"/>
        </w:rPr>
      </w:pPr>
      <w:r>
        <w:rPr>
          <w:rFonts w:ascii="宋体" w:hAnsi="宋体"/>
          <w:sz w:val="24"/>
        </w:rPr>
        <w:t>实物证券由基金托管人存放于基金托管人的保管库。实物证券的购买和转让，由基金托管人根据基金管理人的指令办理。</w:t>
      </w:r>
      <w:r>
        <w:rPr>
          <w:rFonts w:ascii="宋体" w:hAnsi="宋体"/>
          <w:color w:val="000000"/>
          <w:sz w:val="24"/>
        </w:rPr>
        <w:t>基金托管人对由基金托管人以外机构实际有效控制的本基金资产不承担保管责任。</w:t>
      </w:r>
    </w:p>
    <w:p w14:paraId="7B56FDA8">
      <w:pPr>
        <w:tabs>
          <w:tab w:val="left" w:pos="1260"/>
        </w:tabs>
        <w:spacing w:line="360" w:lineRule="auto"/>
        <w:ind w:firstLine="480" w:firstLineChars="200"/>
        <w:rPr>
          <w:rFonts w:ascii="宋体" w:hAnsi="宋体"/>
          <w:sz w:val="24"/>
        </w:rPr>
      </w:pPr>
      <w:r>
        <w:rPr>
          <w:rFonts w:ascii="宋体" w:hAnsi="宋体"/>
          <w:sz w:val="24"/>
        </w:rPr>
        <w:t>银行存款定期存单等有价凭证由基金托管人负责保管。</w:t>
      </w:r>
    </w:p>
    <w:p w14:paraId="6EDFE35A">
      <w:pPr>
        <w:spacing w:line="360" w:lineRule="auto"/>
        <w:ind w:firstLine="480" w:firstLineChars="200"/>
        <w:rPr>
          <w:spacing w:val="-4"/>
          <w:sz w:val="24"/>
        </w:rPr>
      </w:pPr>
      <w:r>
        <w:rPr>
          <w:rFonts w:ascii="宋体" w:hAnsi="宋体"/>
          <w:sz w:val="24"/>
        </w:rPr>
        <w:t>基金托管人只负责对存款证实书进行保管，不负责对存款证实书真伪的辨别，不承担存款证实书对应存款的本金及收益的安全保管责任。</w:t>
      </w:r>
    </w:p>
    <w:p w14:paraId="2D4295C3">
      <w:pPr>
        <w:tabs>
          <w:tab w:val="left" w:pos="3780"/>
        </w:tabs>
        <w:autoSpaceDE w:val="0"/>
        <w:autoSpaceDN w:val="0"/>
        <w:spacing w:before="156" w:after="156" w:line="360" w:lineRule="auto"/>
        <w:outlineLvl w:val="0"/>
        <w:rPr>
          <w:rFonts w:ascii="宋体"/>
          <w:b/>
          <w:bCs/>
          <w:sz w:val="24"/>
        </w:rPr>
      </w:pPr>
      <w:bookmarkStart w:id="48" w:name="_Toc77663004"/>
      <w:bookmarkStart w:id="49" w:name="_Toc37159180"/>
      <w:r>
        <w:rPr>
          <w:rFonts w:ascii="宋体" w:hAnsi="宋体"/>
          <w:b/>
          <w:bCs/>
          <w:sz w:val="24"/>
        </w:rPr>
        <w:t>（十）与基金财产有关的重大合同的保管</w:t>
      </w:r>
      <w:bookmarkEnd w:id="48"/>
      <w:bookmarkEnd w:id="49"/>
    </w:p>
    <w:p w14:paraId="316DE05C">
      <w:pPr>
        <w:tabs>
          <w:tab w:val="left" w:pos="1260"/>
        </w:tabs>
        <w:spacing w:line="360" w:lineRule="auto"/>
        <w:ind w:firstLine="480" w:firstLineChars="200"/>
        <w:rPr>
          <w:rFonts w:ascii="宋体"/>
          <w:sz w:val="24"/>
        </w:rPr>
      </w:pPr>
      <w:r>
        <w:rPr>
          <w:rFonts w:ascii="宋体" w:hAnsi="宋体"/>
          <w:sz w:val="24"/>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以上的正本，以便基金管理人和基金托管人至少各持有一份正本的原件，基金管理人应及时将正本送达基金托管人处。合同的保管期限按照国家有关规定执行。</w:t>
      </w:r>
    </w:p>
    <w:p w14:paraId="5407C1F9">
      <w:pPr>
        <w:tabs>
          <w:tab w:val="left" w:pos="1260"/>
        </w:tabs>
        <w:spacing w:line="360" w:lineRule="auto"/>
        <w:ind w:firstLine="480" w:firstLineChars="200"/>
        <w:rPr>
          <w:rFonts w:ascii="宋体"/>
          <w:sz w:val="24"/>
        </w:rPr>
      </w:pPr>
      <w:r>
        <w:rPr>
          <w:rFonts w:ascii="宋体" w:hAnsi="宋体"/>
          <w:sz w:val="24"/>
        </w:rPr>
        <w:t>对于无法取得二份以上的正本的，基金管理人应向基金托管人提供加盖授权业务章的合同传真件，未经双方协商或未在合同约定范围内，合同原件不得转移。</w:t>
      </w:r>
    </w:p>
    <w:p w14:paraId="64824ACC">
      <w:pPr>
        <w:pStyle w:val="2"/>
      </w:pPr>
      <w:bookmarkStart w:id="50" w:name="_Toc65162005"/>
      <w:r>
        <w:t>六、指令的发送、确认和执行</w:t>
      </w:r>
      <w:bookmarkEnd w:id="43"/>
      <w:bookmarkEnd w:id="44"/>
      <w:bookmarkEnd w:id="45"/>
      <w:bookmarkEnd w:id="50"/>
    </w:p>
    <w:p w14:paraId="66F0D607">
      <w:pPr>
        <w:tabs>
          <w:tab w:val="left" w:pos="1260"/>
        </w:tabs>
        <w:spacing w:line="360" w:lineRule="auto"/>
        <w:ind w:firstLine="480"/>
        <w:rPr>
          <w:rFonts w:ascii="宋体" w:hAnsi="宋体"/>
          <w:sz w:val="24"/>
        </w:rPr>
      </w:pPr>
      <w:r>
        <w:rPr>
          <w:rFonts w:ascii="宋体" w:hAnsi="宋体"/>
          <w:sz w:val="24"/>
        </w:rPr>
        <w:t>基金管理人在运用基金财产时向基金托管人发送场外资金划拨及其他款项收付指令，基金托管人执行基金管理人的指令、办理基金名下的资金往来等有关事项。基金管理人发送指令应采用电子传真、邮件、电子指令或双方认可的其他方式。</w:t>
      </w:r>
    </w:p>
    <w:p w14:paraId="3C77A69B">
      <w:pPr>
        <w:tabs>
          <w:tab w:val="left" w:pos="3780"/>
        </w:tabs>
        <w:autoSpaceDE w:val="0"/>
        <w:autoSpaceDN w:val="0"/>
        <w:spacing w:before="156" w:after="156" w:line="360" w:lineRule="auto"/>
        <w:outlineLvl w:val="0"/>
        <w:rPr>
          <w:rFonts w:ascii="宋体"/>
          <w:b/>
          <w:bCs/>
          <w:sz w:val="24"/>
        </w:rPr>
      </w:pPr>
      <w:bookmarkStart w:id="51" w:name="_Toc77663006"/>
      <w:r>
        <w:rPr>
          <w:rFonts w:ascii="宋体" w:hAnsi="宋体"/>
          <w:b/>
          <w:bCs/>
          <w:sz w:val="24"/>
        </w:rPr>
        <w:t>（一）基金管理人对发送指令人员的书面授权</w:t>
      </w:r>
      <w:bookmarkEnd w:id="51"/>
    </w:p>
    <w:p w14:paraId="52389DAE">
      <w:pPr>
        <w:tabs>
          <w:tab w:val="left" w:pos="1260"/>
        </w:tabs>
        <w:spacing w:line="360" w:lineRule="auto"/>
        <w:ind w:firstLine="480" w:firstLineChars="200"/>
        <w:rPr>
          <w:rFonts w:ascii="宋体"/>
          <w:sz w:val="24"/>
        </w:rPr>
      </w:pPr>
      <w:r>
        <w:rPr>
          <w:rFonts w:ascii="宋体" w:hAnsi="宋体"/>
          <w:sz w:val="24"/>
        </w:rPr>
        <w:t>基金管理人应事先书面通知（以下简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送交基金托管人。</w:t>
      </w:r>
      <w:r>
        <w:rPr>
          <w:rFonts w:hint="eastAsia" w:ascii="宋体" w:hAnsi="宋体"/>
          <w:sz w:val="24"/>
        </w:rPr>
        <w:t>基金管理人应确保授权通知正本与扫描件的一致性。</w:t>
      </w:r>
    </w:p>
    <w:p w14:paraId="7EE87A27">
      <w:pPr>
        <w:tabs>
          <w:tab w:val="left" w:pos="1260"/>
        </w:tabs>
        <w:spacing w:line="360" w:lineRule="auto"/>
        <w:ind w:firstLine="480" w:firstLineChars="200"/>
        <w:rPr>
          <w:rFonts w:ascii="宋体"/>
          <w:sz w:val="24"/>
        </w:rPr>
      </w:pPr>
      <w:r>
        <w:rPr>
          <w:rFonts w:ascii="宋体" w:hAnsi="宋体"/>
          <w:sz w:val="24"/>
        </w:rPr>
        <w:t>基金管理人和基金托管人对授权文件负有保密义务，其内容不得向授权人、被授权人及相关操作人员以外的任何人泄露。</w:t>
      </w:r>
      <w:bookmarkStart w:id="52" w:name="_Toc77663007"/>
    </w:p>
    <w:p w14:paraId="7D6FAC9E">
      <w:pPr>
        <w:tabs>
          <w:tab w:val="left" w:pos="3780"/>
        </w:tabs>
        <w:autoSpaceDE w:val="0"/>
        <w:autoSpaceDN w:val="0"/>
        <w:spacing w:before="156" w:after="156" w:line="360" w:lineRule="auto"/>
        <w:outlineLvl w:val="0"/>
        <w:rPr>
          <w:rFonts w:ascii="宋体"/>
          <w:b/>
          <w:bCs/>
          <w:sz w:val="24"/>
        </w:rPr>
      </w:pPr>
      <w:r>
        <w:rPr>
          <w:rFonts w:ascii="宋体" w:hAnsi="宋体"/>
          <w:b/>
          <w:bCs/>
          <w:sz w:val="24"/>
        </w:rPr>
        <w:t>（二）指令的内容</w:t>
      </w:r>
      <w:bookmarkEnd w:id="52"/>
    </w:p>
    <w:p w14:paraId="0617C722">
      <w:pPr>
        <w:tabs>
          <w:tab w:val="left" w:pos="1260"/>
        </w:tabs>
        <w:spacing w:line="360" w:lineRule="auto"/>
        <w:ind w:firstLine="480" w:firstLineChars="200"/>
        <w:rPr>
          <w:rFonts w:ascii="宋体"/>
          <w:sz w:val="24"/>
        </w:rPr>
      </w:pPr>
      <w:r>
        <w:rPr>
          <w:rFonts w:ascii="宋体" w:hAnsi="宋体"/>
          <w:sz w:val="24"/>
        </w:rPr>
        <w:t>指令是基金管理人在运用基金资产时，向基金托管人发出的资金划拨及其他款项收付的指令。</w:t>
      </w:r>
      <w:bookmarkStart w:id="53" w:name="_Toc77663008"/>
      <w:r>
        <w:rPr>
          <w:rFonts w:ascii="宋体" w:hAnsi="宋体"/>
          <w:sz w:val="24"/>
        </w:rPr>
        <w:t>指令应写明款项事由、支付时间、到账时间、金额、收款账户、大额支付号等执行支付所需内容，加盖预留印鉴</w:t>
      </w:r>
      <w:r>
        <w:rPr>
          <w:rFonts w:hint="eastAsia" w:ascii="宋体" w:hAnsi="宋体"/>
          <w:sz w:val="24"/>
        </w:rPr>
        <w:t>并由被授权人签字或签章</w:t>
      </w:r>
      <w:r>
        <w:rPr>
          <w:rFonts w:ascii="宋体" w:hAnsi="宋体"/>
          <w:sz w:val="24"/>
        </w:rPr>
        <w:t>。</w:t>
      </w:r>
    </w:p>
    <w:p w14:paraId="15AEFA3B">
      <w:pPr>
        <w:tabs>
          <w:tab w:val="left" w:pos="1260"/>
        </w:tabs>
        <w:spacing w:line="360" w:lineRule="auto"/>
        <w:rPr>
          <w:rFonts w:ascii="宋体"/>
          <w:b/>
          <w:bCs/>
          <w:sz w:val="24"/>
        </w:rPr>
      </w:pPr>
      <w:r>
        <w:rPr>
          <w:rFonts w:ascii="宋体" w:hAnsi="宋体"/>
          <w:b/>
          <w:bCs/>
          <w:sz w:val="24"/>
        </w:rPr>
        <w:t>（三）指令的发送、确认和执行</w:t>
      </w:r>
      <w:bookmarkEnd w:id="53"/>
      <w:r>
        <w:rPr>
          <w:rFonts w:ascii="宋体" w:hAnsi="宋体"/>
          <w:b/>
          <w:bCs/>
          <w:sz w:val="24"/>
        </w:rPr>
        <w:t>的时间和程序</w:t>
      </w:r>
    </w:p>
    <w:p w14:paraId="70E6D338">
      <w:pPr>
        <w:pBdr>
          <w:top w:val="none" w:color="000000" w:sz="0" w:space="0"/>
          <w:left w:val="none" w:color="000000" w:sz="0" w:space="0"/>
          <w:bottom w:val="none" w:color="000000" w:sz="0" w:space="0"/>
          <w:right w:val="none" w:color="000000" w:sz="0" w:space="0"/>
        </w:pBdr>
        <w:spacing w:line="360" w:lineRule="auto"/>
        <w:ind w:firstLine="420"/>
        <w:rPr>
          <w:rFonts w:ascii="宋体" w:hAnsi="宋体"/>
          <w:sz w:val="24"/>
        </w:rPr>
      </w:pPr>
      <w:r>
        <w:rPr>
          <w:rFonts w:ascii="宋体" w:hAnsi="宋体"/>
          <w:sz w:val="24"/>
        </w:rPr>
        <w:t>基金管理人应按照《基金法》及其他有关法规、《基金合同》和本协议的规定，在其合法的经营权限和交易权限内发送指令，被授权人应按照其授权权限发送指令。指令由“授权通知”确定的被授权人代表基金管理人向基金托管人发送。发送后基金管理人及时通过电话与基金托管人确认指令内容。基金管理人必须在15:00之前向基金托管人发送付款指令并确保基金银行</w:t>
      </w:r>
      <w:r>
        <w:rPr>
          <w:rFonts w:hint="eastAsia" w:ascii="宋体" w:hAnsi="宋体"/>
          <w:sz w:val="24"/>
        </w:rPr>
        <w:t>存款</w:t>
      </w:r>
      <w:r>
        <w:rPr>
          <w:rFonts w:ascii="宋体" w:hAnsi="宋体"/>
          <w:sz w:val="24"/>
        </w:rPr>
        <w:t>账户有足够的资金余额，15:00之后发送付款指令或截止15:00时账户资金不足的，基金托管人不能保证在当日完成划付。对基金管理人在没有充足资金的情况下向基金托管人发出的指令，基金托管人可不予执行，并立即通知基金管理人，基金托管人不承担因为不执行该指令而造成损失的责任。如基金管理人要求当天某一时点到账，必须至少提前2个工作小时向基金托管人发送付款指令并与基金托管人电话确认。基金管理人指令传输及确认不及时或账户资金不足，未能留出足够的执行时间，致使指令未能及时执行的，基金托管人不承担由此导致的损失。基金管理人应将银行间市场成交单加盖预留印鉴后传真给基金托管人。对于被授权人发出的指令，基金管理人不得否认其效力。基金托管人依照“授权通知”规定的方法确认指令的有效后，方可执行指令。</w:t>
      </w:r>
    </w:p>
    <w:p w14:paraId="0E80970E">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（四）基金管理人发送错误指令的情形和处理程序</w:t>
      </w:r>
    </w:p>
    <w:p w14:paraId="3814E6FC">
      <w:pPr>
        <w:tabs>
          <w:tab w:val="left" w:pos="1260"/>
        </w:tabs>
        <w:spacing w:line="360" w:lineRule="auto"/>
        <w:ind w:firstLine="480" w:firstLineChars="200"/>
        <w:rPr>
          <w:rFonts w:ascii="宋体"/>
          <w:sz w:val="24"/>
        </w:rPr>
      </w:pPr>
      <w:r>
        <w:rPr>
          <w:rFonts w:ascii="宋体" w:hAnsi="宋体"/>
          <w:sz w:val="24"/>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p>
    <w:p w14:paraId="266CC827">
      <w:pPr>
        <w:tabs>
          <w:tab w:val="left" w:pos="3780"/>
        </w:tabs>
        <w:autoSpaceDE w:val="0"/>
        <w:autoSpaceDN w:val="0"/>
        <w:spacing w:before="156" w:after="156" w:line="360" w:lineRule="auto"/>
        <w:outlineLvl w:val="0"/>
        <w:rPr>
          <w:rFonts w:ascii="宋体"/>
          <w:b/>
          <w:bCs/>
          <w:sz w:val="24"/>
        </w:rPr>
      </w:pPr>
      <w:r>
        <w:rPr>
          <w:rFonts w:ascii="宋体" w:hAnsi="宋体"/>
          <w:b/>
          <w:bCs/>
          <w:sz w:val="24"/>
        </w:rPr>
        <w:t>（五）基金托管人依照法律法规暂缓、拒绝执行指令的情形和处理程序</w:t>
      </w:r>
    </w:p>
    <w:p w14:paraId="52FD0B80">
      <w:pPr>
        <w:tabs>
          <w:tab w:val="left" w:pos="1260"/>
        </w:tabs>
        <w:spacing w:line="360" w:lineRule="auto"/>
        <w:ind w:firstLine="480" w:firstLineChars="200"/>
        <w:rPr>
          <w:rFonts w:ascii="宋体"/>
          <w:sz w:val="24"/>
        </w:rPr>
      </w:pPr>
      <w:r>
        <w:rPr>
          <w:rFonts w:ascii="宋体" w:hAnsi="宋体"/>
          <w:sz w:val="24"/>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14:paraId="4A4B9E73">
      <w:pPr>
        <w:tabs>
          <w:tab w:val="left" w:pos="1260"/>
        </w:tabs>
        <w:spacing w:line="360" w:lineRule="auto"/>
        <w:ind w:firstLine="480" w:firstLineChars="200"/>
        <w:rPr>
          <w:rFonts w:ascii="宋体"/>
          <w:sz w:val="24"/>
        </w:rPr>
      </w:pPr>
      <w:r>
        <w:rPr>
          <w:rFonts w:ascii="宋体" w:hAnsi="宋体"/>
          <w:sz w:val="24"/>
        </w:rPr>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14:paraId="1D31E595">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（六）基金托管人未按照基金管理人指令执行的处理方法</w:t>
      </w:r>
    </w:p>
    <w:p w14:paraId="3BD2C671">
      <w:pPr>
        <w:tabs>
          <w:tab w:val="left" w:pos="1260"/>
        </w:tabs>
        <w:spacing w:line="360" w:lineRule="auto"/>
        <w:ind w:firstLine="480" w:firstLineChars="200"/>
        <w:rPr>
          <w:rFonts w:ascii="宋体"/>
          <w:sz w:val="24"/>
        </w:rPr>
      </w:pPr>
      <w:r>
        <w:rPr>
          <w:rFonts w:ascii="宋体" w:hAnsi="宋体"/>
          <w:sz w:val="24"/>
        </w:rPr>
        <w:t>基金托管人由于自身原因造成未按照基金管理人发送的正常指令执行，应在发现后及时采取措施予以弥补，给基金份额持有人造成损失的，对由此造成的直接经济损失负赔偿责任。</w:t>
      </w:r>
      <w:bookmarkStart w:id="54" w:name="_Toc77663009"/>
    </w:p>
    <w:p w14:paraId="3C2B79B1">
      <w:pPr>
        <w:tabs>
          <w:tab w:val="left" w:pos="3780"/>
        </w:tabs>
        <w:autoSpaceDE w:val="0"/>
        <w:autoSpaceDN w:val="0"/>
        <w:spacing w:before="156" w:after="156" w:line="360" w:lineRule="auto"/>
        <w:outlineLvl w:val="0"/>
        <w:rPr>
          <w:rFonts w:ascii="宋体"/>
          <w:b/>
          <w:bCs/>
          <w:sz w:val="24"/>
        </w:rPr>
      </w:pPr>
      <w:r>
        <w:rPr>
          <w:rFonts w:ascii="宋体" w:hAnsi="宋体"/>
          <w:b/>
          <w:bCs/>
          <w:sz w:val="24"/>
        </w:rPr>
        <w:t>（七）被授权人</w:t>
      </w:r>
      <w:bookmarkEnd w:id="54"/>
      <w:r>
        <w:rPr>
          <w:rFonts w:ascii="宋体" w:hAnsi="宋体"/>
          <w:b/>
          <w:bCs/>
          <w:sz w:val="24"/>
        </w:rPr>
        <w:t>的更换</w:t>
      </w:r>
    </w:p>
    <w:p w14:paraId="05853900">
      <w:pPr>
        <w:tabs>
          <w:tab w:val="left" w:pos="1260"/>
        </w:tabs>
        <w:spacing w:line="360" w:lineRule="auto"/>
        <w:ind w:firstLine="480" w:firstLineChars="200"/>
        <w:rPr>
          <w:rFonts w:ascii="宋体"/>
          <w:sz w:val="24"/>
        </w:rPr>
      </w:pPr>
      <w:r>
        <w:rPr>
          <w:rFonts w:ascii="宋体" w:hAnsi="宋体"/>
          <w:sz w:val="24"/>
        </w:rPr>
        <w:t>基金管理人撤换被授权人或改变被授权人的权限，必须提前至少三个工作日，使用传真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r>
        <w:rPr>
          <w:rFonts w:hint="eastAsia" w:ascii="宋体" w:hAnsi="宋体"/>
          <w:sz w:val="24"/>
        </w:rPr>
        <w:t>基金管理人应确保授权通知正本与扫描件的一致性。</w:t>
      </w:r>
    </w:p>
    <w:p w14:paraId="01E3D03D">
      <w:pPr>
        <w:tabs>
          <w:tab w:val="left" w:pos="1260"/>
        </w:tabs>
        <w:spacing w:line="360" w:lineRule="auto"/>
        <w:ind w:firstLine="480" w:firstLineChars="200"/>
        <w:rPr>
          <w:rFonts w:ascii="宋体"/>
          <w:sz w:val="24"/>
        </w:rPr>
      </w:pPr>
      <w:r>
        <w:rPr>
          <w:rFonts w:ascii="宋体" w:hAnsi="宋体"/>
          <w:sz w:val="24"/>
        </w:rPr>
        <w:t>如果基金管理人已经撤销或更改对指令发送人员的授权，并且书面通知基金托管人，则对于在变更通知的启用日期后该指令发送人员无权发送的指令，或超权限发送的指令，基金管理人不承担责任。</w:t>
      </w:r>
    </w:p>
    <w:p w14:paraId="03B8DE6B">
      <w:pPr>
        <w:pStyle w:val="2"/>
      </w:pPr>
      <w:bookmarkStart w:id="55" w:name="_Toc65162006"/>
      <w:bookmarkStart w:id="56" w:name="_Toc523829997"/>
      <w:bookmarkStart w:id="57" w:name="_Toc125892443"/>
      <w:bookmarkStart w:id="58" w:name="_Toc22454451"/>
      <w:bookmarkStart w:id="59" w:name="_Toc466788856"/>
      <w:r>
        <w:t>七、交易及清算交收安排</w:t>
      </w:r>
      <w:bookmarkEnd w:id="55"/>
      <w:bookmarkEnd w:id="56"/>
      <w:bookmarkEnd w:id="57"/>
      <w:bookmarkEnd w:id="58"/>
      <w:bookmarkEnd w:id="59"/>
    </w:p>
    <w:p w14:paraId="7BD3EB69">
      <w:pPr>
        <w:tabs>
          <w:tab w:val="left" w:pos="3780"/>
        </w:tabs>
        <w:autoSpaceDE w:val="0"/>
        <w:autoSpaceDN w:val="0"/>
        <w:spacing w:before="156" w:after="156" w:line="360" w:lineRule="auto"/>
        <w:outlineLvl w:val="0"/>
        <w:rPr>
          <w:rFonts w:ascii="宋体"/>
          <w:b/>
          <w:bCs/>
          <w:sz w:val="24"/>
        </w:rPr>
      </w:pPr>
      <w:bookmarkStart w:id="60" w:name="_Toc77663011"/>
      <w:bookmarkStart w:id="61" w:name="_Toc22454452"/>
      <w:bookmarkStart w:id="62" w:name="_Toc77663012"/>
      <w:r>
        <w:rPr>
          <w:rFonts w:ascii="宋体" w:hAnsi="宋体"/>
          <w:b/>
          <w:bCs/>
          <w:sz w:val="24"/>
        </w:rPr>
        <w:t>（一）选择代理证券、期货买卖的证券、期货经纪机构的标准和程序</w:t>
      </w:r>
      <w:bookmarkEnd w:id="60"/>
      <w:bookmarkEnd w:id="61"/>
    </w:p>
    <w:p w14:paraId="310824CE">
      <w:pPr>
        <w:tabs>
          <w:tab w:val="left" w:pos="1260"/>
        </w:tabs>
        <w:spacing w:line="360" w:lineRule="auto"/>
        <w:ind w:firstLine="480" w:firstLineChars="200"/>
        <w:rPr>
          <w:rFonts w:ascii="宋体" w:hAnsi="宋体"/>
          <w:sz w:val="24"/>
        </w:rPr>
      </w:pPr>
      <w:r>
        <w:rPr>
          <w:rFonts w:ascii="宋体" w:hAnsi="宋体"/>
          <w:sz w:val="24"/>
        </w:rPr>
        <w:t>基金管理人负责选择代理本基金证券交易所证券买卖的证券经纪机构。基金管理人、基金托管人、证券经纪机构三方签署证券经纪服务协议。基金管理人应及时将基金交易单元号、佣金费率等基本信息以及变更情况及时以书面形式通知基金托管人，并在法定信息披露公告中披露相关内容。</w:t>
      </w:r>
    </w:p>
    <w:p w14:paraId="63C7C765">
      <w:pPr>
        <w:tabs>
          <w:tab w:val="left" w:pos="1260"/>
        </w:tabs>
        <w:spacing w:line="360" w:lineRule="auto"/>
        <w:ind w:firstLine="480" w:firstLineChars="200"/>
        <w:rPr>
          <w:rFonts w:ascii="宋体"/>
          <w:sz w:val="24"/>
        </w:rPr>
      </w:pPr>
      <w:r>
        <w:rPr>
          <w:rFonts w:ascii="宋体"/>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39B5AD55">
      <w:pPr>
        <w:tabs>
          <w:tab w:val="left" w:pos="3780"/>
        </w:tabs>
        <w:autoSpaceDE w:val="0"/>
        <w:autoSpaceDN w:val="0"/>
        <w:spacing w:before="156" w:after="156" w:line="360" w:lineRule="auto"/>
        <w:outlineLvl w:val="0"/>
        <w:rPr>
          <w:rFonts w:ascii="宋体" w:hAnsi="宋体"/>
          <w:b/>
          <w:bCs/>
          <w:sz w:val="24"/>
        </w:rPr>
      </w:pPr>
      <w:r>
        <w:rPr>
          <w:rFonts w:ascii="宋体" w:hAnsi="宋体"/>
          <w:b/>
          <w:bCs/>
          <w:sz w:val="24"/>
        </w:rPr>
        <w:t>（二）基金投资证券后的清算</w:t>
      </w:r>
      <w:bookmarkEnd w:id="62"/>
      <w:r>
        <w:rPr>
          <w:rFonts w:ascii="宋体" w:hAnsi="宋体"/>
          <w:b/>
          <w:bCs/>
          <w:sz w:val="24"/>
        </w:rPr>
        <w:t>交收安排</w:t>
      </w:r>
    </w:p>
    <w:p w14:paraId="03C226FD">
      <w:pPr>
        <w:tabs>
          <w:tab w:val="left" w:pos="1260"/>
        </w:tabs>
        <w:spacing w:line="360" w:lineRule="auto"/>
        <w:ind w:firstLine="480" w:firstLineChars="200"/>
        <w:rPr>
          <w:rFonts w:ascii="宋体"/>
          <w:sz w:val="24"/>
        </w:rPr>
      </w:pPr>
      <w:r>
        <w:rPr>
          <w:rFonts w:ascii="宋体" w:hAnsi="宋体"/>
          <w:sz w:val="24"/>
        </w:rPr>
        <w:t>1.资金划拨</w:t>
      </w:r>
    </w:p>
    <w:p w14:paraId="12801E4E">
      <w:pPr>
        <w:tabs>
          <w:tab w:val="left" w:pos="1260"/>
        </w:tabs>
        <w:spacing w:line="360" w:lineRule="auto"/>
        <w:ind w:firstLine="480" w:firstLineChars="200"/>
        <w:rPr>
          <w:rFonts w:ascii="宋体" w:hAnsi="宋体"/>
          <w:sz w:val="24"/>
        </w:rPr>
      </w:pPr>
      <w:r>
        <w:rPr>
          <w:rFonts w:ascii="宋体" w:hAnsi="宋体"/>
          <w:sz w:val="24"/>
        </w:rPr>
        <w:t>对于基金管理人的资金划拨指令，基金托管人在复核无误后应在规定期限内执行，不得延误。基金管理人应保证基金托管人在执行基金管理人发送的资金划拨指令时，基金银行存款账户或</w:t>
      </w:r>
      <w:r>
        <w:rPr>
          <w:rFonts w:hint="eastAsia" w:ascii="宋体" w:hAnsi="宋体"/>
          <w:sz w:val="24"/>
        </w:rPr>
        <w:t>证券</w:t>
      </w:r>
      <w:r>
        <w:rPr>
          <w:rFonts w:ascii="宋体" w:hAnsi="宋体"/>
          <w:sz w:val="24"/>
        </w:rPr>
        <w:t>资金账户上有充足的资金。基金的资金头寸不足时，基金托管人有权拒绝基金管理人发送的划款指令。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14:paraId="797684E6">
      <w:pPr>
        <w:tabs>
          <w:tab w:val="left" w:pos="1260"/>
        </w:tabs>
        <w:spacing w:line="360" w:lineRule="auto"/>
        <w:ind w:firstLine="480" w:firstLineChars="200"/>
        <w:rPr>
          <w:rFonts w:ascii="宋体" w:hAnsi="宋体"/>
          <w:sz w:val="24"/>
        </w:rPr>
      </w:pPr>
      <w:r>
        <w:rPr>
          <w:rFonts w:ascii="宋体" w:hAnsi="宋体"/>
          <w:sz w:val="24"/>
        </w:rPr>
        <w:t>2.结算方式</w:t>
      </w:r>
    </w:p>
    <w:p w14:paraId="46F7FE42">
      <w:pPr>
        <w:tabs>
          <w:tab w:val="left" w:pos="1260"/>
        </w:tabs>
        <w:spacing w:line="360" w:lineRule="auto"/>
        <w:ind w:firstLine="480" w:firstLineChars="200"/>
        <w:rPr>
          <w:rFonts w:ascii="宋体" w:hAnsi="宋体"/>
          <w:sz w:val="24"/>
        </w:rPr>
      </w:pPr>
      <w:r>
        <w:rPr>
          <w:rFonts w:ascii="宋体" w:hAnsi="宋体"/>
          <w:sz w:val="24"/>
        </w:rPr>
        <w:t>支付结算以转账形式进行。如中国人民银行有更快捷、安全、可行的结算方式，基金托管人可根据需要进行调整。</w:t>
      </w:r>
    </w:p>
    <w:p w14:paraId="47F02BA2">
      <w:pPr>
        <w:tabs>
          <w:tab w:val="left" w:pos="1260"/>
        </w:tabs>
        <w:spacing w:line="360" w:lineRule="auto"/>
        <w:ind w:firstLine="480"/>
        <w:rPr>
          <w:rFonts w:ascii="宋体" w:hAnsi="宋体"/>
          <w:sz w:val="24"/>
        </w:rPr>
      </w:pPr>
      <w:bookmarkStart w:id="63" w:name="_Toc466788858"/>
      <w:bookmarkStart w:id="64" w:name="_Toc523829999"/>
      <w:r>
        <w:rPr>
          <w:rFonts w:ascii="宋体" w:hAnsi="宋体"/>
          <w:sz w:val="24"/>
        </w:rPr>
        <w:t>3.证券交易所资金结算</w:t>
      </w:r>
    </w:p>
    <w:p w14:paraId="0C9D500E">
      <w:pPr>
        <w:spacing w:line="360" w:lineRule="auto"/>
        <w:ind w:firstLine="480" w:firstLineChars="200"/>
        <w:rPr>
          <w:rFonts w:ascii="宋体" w:hAnsi="宋体"/>
          <w:color w:val="000000"/>
          <w:sz w:val="24"/>
        </w:rPr>
      </w:pPr>
      <w:r>
        <w:rPr>
          <w:rFonts w:ascii="宋体" w:hAnsi="宋体"/>
          <w:color w:val="000000"/>
          <w:sz w:val="24"/>
        </w:rPr>
        <w:t>本基金的证券交易所证券交易资金结算模式为券商结算模式。证券经纪机构负责根据</w:t>
      </w:r>
      <w:r>
        <w:rPr>
          <w:rFonts w:ascii="宋体" w:hAnsi="宋体"/>
          <w:sz w:val="24"/>
        </w:rPr>
        <w:t>中国证券登记结算有限责任公司（以下简称中国结算）</w:t>
      </w:r>
      <w:r>
        <w:rPr>
          <w:rFonts w:ascii="宋体" w:hAnsi="宋体"/>
          <w:color w:val="000000"/>
          <w:sz w:val="24"/>
        </w:rPr>
        <w:t>的相关规则，作为结算参与人与中国结算办理本基金投资于证券交易所证券交易及非交易涉及的证券资金的清算交收。</w:t>
      </w:r>
      <w:r>
        <w:rPr>
          <w:rFonts w:ascii="宋体" w:hAnsi="宋体"/>
          <w:sz w:val="24"/>
        </w:rPr>
        <w:t>基金</w:t>
      </w:r>
      <w:r>
        <w:rPr>
          <w:rFonts w:ascii="宋体" w:hAnsi="宋体"/>
          <w:color w:val="000000"/>
          <w:sz w:val="24"/>
        </w:rPr>
        <w:t>管理人应遵守有关登记结算机构制定的相关业务规则和规定，该等规则和规定自动成为本条款约定的内容。</w:t>
      </w:r>
    </w:p>
    <w:p w14:paraId="33C02135">
      <w:pPr>
        <w:tabs>
          <w:tab w:val="left" w:pos="1260"/>
        </w:tabs>
        <w:spacing w:line="360" w:lineRule="auto"/>
        <w:ind w:firstLine="480" w:firstLineChars="200"/>
        <w:rPr>
          <w:rFonts w:ascii="宋体" w:hAnsi="宋体"/>
          <w:color w:val="000000"/>
          <w:sz w:val="24"/>
        </w:rPr>
      </w:pPr>
      <w:r>
        <w:rPr>
          <w:rFonts w:ascii="宋体" w:hAnsi="宋体"/>
          <w:color w:val="000000"/>
          <w:sz w:val="24"/>
        </w:rPr>
        <w:t>基金管理人、基金托管人和证券经纪机构就本基金参与证券交易所证券交易的具体事项另行签订协议，明确三方在本基金参与证券交易所证券买卖中的各类证券交易、证券交收及相关资金交收过程中的职责和义务。证券经纪机构负责证券资金账户的资金安全和完整，并承担因证券经纪机构原因导致本基金清算交收业务无法完成给本基金造成的损失；若由于基金管理人</w:t>
      </w:r>
      <w:r>
        <w:rPr>
          <w:rFonts w:ascii="宋体" w:hAnsi="宋体"/>
          <w:sz w:val="24"/>
        </w:rPr>
        <w:t>的投资行为造成基金投资清算困难和风险的</w:t>
      </w:r>
      <w:r>
        <w:rPr>
          <w:rFonts w:ascii="宋体" w:hAnsi="宋体"/>
          <w:color w:val="000000"/>
          <w:sz w:val="24"/>
        </w:rPr>
        <w:t>，</w:t>
      </w:r>
      <w:r>
        <w:rPr>
          <w:rFonts w:ascii="宋体" w:hAnsi="宋体"/>
          <w:sz w:val="24"/>
        </w:rPr>
        <w:t>由基金管理人负责解决，由此给</w:t>
      </w:r>
      <w:r>
        <w:rPr>
          <w:rFonts w:ascii="宋体" w:hAnsi="宋体" w:cs="宋体"/>
          <w:color w:val="000000"/>
          <w:sz w:val="24"/>
        </w:rPr>
        <w:t>本基金</w:t>
      </w:r>
      <w:r>
        <w:rPr>
          <w:rFonts w:ascii="宋体" w:hAnsi="宋体"/>
          <w:sz w:val="24"/>
        </w:rPr>
        <w:t>造成的损失由基金管理人承担</w:t>
      </w:r>
      <w:r>
        <w:rPr>
          <w:rFonts w:ascii="宋体" w:hAnsi="宋体"/>
          <w:color w:val="000000"/>
          <w:sz w:val="24"/>
        </w:rPr>
        <w:t>。</w:t>
      </w:r>
    </w:p>
    <w:p w14:paraId="0B89C6FE">
      <w:pPr>
        <w:tabs>
          <w:tab w:val="left" w:pos="1260"/>
        </w:tabs>
        <w:spacing w:line="360" w:lineRule="auto"/>
        <w:ind w:firstLine="480"/>
        <w:rPr>
          <w:rFonts w:ascii="宋体" w:hAnsi="宋体"/>
          <w:color w:val="000000"/>
          <w:sz w:val="24"/>
        </w:rPr>
      </w:pPr>
      <w:r>
        <w:rPr>
          <w:rFonts w:ascii="宋体" w:hAnsi="宋体"/>
          <w:color w:val="000000"/>
          <w:sz w:val="24"/>
        </w:rPr>
        <w:t>基金管理人应根据证券交易的资金需求，向基金托管人发送银证/证银转账指令，将资金从本基金银行存款账户划至证券资金账户，或将资金从证券资金账户划至本基金银行存款账户。基金托管人对基金管理人的指令根据本协议约定核对无误后，通过银证转账方式执行指令。</w:t>
      </w:r>
    </w:p>
    <w:p w14:paraId="6329EF1C">
      <w:pPr>
        <w:tabs>
          <w:tab w:val="left" w:pos="1260"/>
        </w:tabs>
        <w:spacing w:line="360" w:lineRule="auto"/>
        <w:ind w:firstLine="480"/>
        <w:rPr>
          <w:rFonts w:ascii="宋体" w:hAnsi="宋体"/>
          <w:color w:val="000000"/>
          <w:sz w:val="24"/>
        </w:rPr>
      </w:pPr>
      <w:r>
        <w:rPr>
          <w:rFonts w:ascii="宋体" w:hAnsi="宋体"/>
          <w:color w:val="000000"/>
          <w:sz w:val="24"/>
        </w:rPr>
        <w:t>4.场外交易资金结算</w:t>
      </w:r>
    </w:p>
    <w:p w14:paraId="70C838FD">
      <w:pPr>
        <w:tabs>
          <w:tab w:val="left" w:pos="1260"/>
        </w:tabs>
        <w:spacing w:line="360" w:lineRule="auto"/>
        <w:ind w:firstLine="480" w:firstLineChars="200"/>
        <w:rPr>
          <w:rFonts w:ascii="宋体" w:hAnsi="宋体"/>
          <w:sz w:val="24"/>
        </w:rPr>
      </w:pPr>
      <w:r>
        <w:rPr>
          <w:rFonts w:ascii="宋体" w:hAnsi="宋体"/>
          <w:sz w:val="24"/>
        </w:rPr>
        <w:t>本基金场外证券投资的清算交割，由基金托管人根据基金管理人的指令通过登记结算机构办理。如因基金托管人的自身原因在清算上造成基金资产的损失，应由基金托管人负责赔偿基金的损失；如果因为基金管理人的投资运作行为而造成基金投资清算困难和风险的，基金托管人发现后应立即通知基金管理人，由基金管理人负责解决，基金托管人应给予必要的配合，由此给基金托管人、本基金造成的损失由基金管理人承担。</w:t>
      </w:r>
    </w:p>
    <w:p w14:paraId="6DC26AF1">
      <w:pPr>
        <w:tabs>
          <w:tab w:val="left" w:pos="3780"/>
        </w:tabs>
        <w:autoSpaceDE w:val="0"/>
        <w:autoSpaceDN w:val="0"/>
        <w:spacing w:before="156" w:after="156" w:line="360" w:lineRule="auto"/>
        <w:outlineLvl w:val="0"/>
        <w:rPr>
          <w:rFonts w:ascii="宋体" w:hAnsi="宋体"/>
          <w:b/>
          <w:bCs/>
          <w:sz w:val="24"/>
        </w:rPr>
      </w:pPr>
      <w:bookmarkStart w:id="65" w:name="_Toc77663013"/>
      <w:r>
        <w:rPr>
          <w:rFonts w:ascii="宋体" w:hAnsi="宋体"/>
          <w:b/>
          <w:bCs/>
          <w:sz w:val="24"/>
        </w:rPr>
        <w:t>（三）基金投资期货后的清算交收安排</w:t>
      </w:r>
    </w:p>
    <w:p w14:paraId="1DB96AE4">
      <w:pPr>
        <w:spacing w:line="360" w:lineRule="auto"/>
        <w:ind w:firstLine="480" w:firstLineChars="200"/>
        <w:rPr>
          <w:rFonts w:ascii="宋体" w:hAnsi="宋体"/>
          <w:sz w:val="24"/>
        </w:rPr>
      </w:pPr>
      <w:r>
        <w:rPr>
          <w:rFonts w:ascii="宋体" w:hAnsi="宋体"/>
          <w:sz w:val="24"/>
        </w:rPr>
        <w:t>本基金</w:t>
      </w:r>
      <w:r>
        <w:rPr>
          <w:spacing w:val="-4"/>
          <w:sz w:val="24"/>
        </w:rPr>
        <w:t>通过</w:t>
      </w:r>
      <w:r>
        <w:rPr>
          <w:rFonts w:ascii="宋体" w:hAnsi="宋体"/>
          <w:sz w:val="24"/>
        </w:rPr>
        <w:t>期货经纪机构</w:t>
      </w:r>
      <w:r>
        <w:rPr>
          <w:spacing w:val="-4"/>
          <w:sz w:val="24"/>
        </w:rPr>
        <w:t>进行的交易</w:t>
      </w:r>
      <w:r>
        <w:rPr>
          <w:rFonts w:ascii="宋体" w:hAnsi="宋体"/>
          <w:sz w:val="24"/>
        </w:rPr>
        <w:t>由期货经纪机构作为结算参与人代理本基金进行结算，</w:t>
      </w:r>
      <w:r>
        <w:rPr>
          <w:rFonts w:ascii="宋体"/>
          <w:sz w:val="24"/>
        </w:rPr>
        <w:t>并承担由期货经纪机构原因造成的正常结算、交收业务无法完成的责任</w:t>
      </w:r>
      <w:r>
        <w:rPr>
          <w:rFonts w:ascii="宋体" w:hAnsi="宋体"/>
          <w:sz w:val="24"/>
        </w:rPr>
        <w:t>。</w:t>
      </w:r>
    </w:p>
    <w:p w14:paraId="6B329597">
      <w:pPr>
        <w:spacing w:line="360" w:lineRule="auto"/>
        <w:ind w:firstLine="480" w:firstLineChars="200"/>
        <w:rPr>
          <w:rFonts w:ascii="宋体" w:hAnsi="宋体"/>
          <w:sz w:val="24"/>
        </w:rPr>
      </w:pPr>
      <w:r>
        <w:rPr>
          <w:rFonts w:ascii="宋体" w:hAnsi="宋体"/>
          <w:sz w:val="24"/>
        </w:rPr>
        <w:t>基金管理人、基金托管人和期货经纪机构可就基金参与期货交易的具体事项另行签订协议，明确三方在基金参与期货交易中的账户开立、资金划拨、期货交易、交易费用、数据传输，以及风险控制与监督等方面的职责和义务。</w:t>
      </w:r>
    </w:p>
    <w:p w14:paraId="54F5F218">
      <w:pPr>
        <w:spacing w:line="360" w:lineRule="auto"/>
        <w:ind w:firstLine="480" w:firstLineChars="200"/>
        <w:rPr>
          <w:rFonts w:ascii="宋体" w:hAnsi="宋体"/>
          <w:b/>
          <w:bCs/>
          <w:sz w:val="24"/>
        </w:rPr>
      </w:pPr>
      <w:r>
        <w:rPr>
          <w:rFonts w:ascii="宋体" w:hAnsi="宋体"/>
          <w:sz w:val="24"/>
        </w:rPr>
        <w:t>基金管理人应责成其选择的期货公司对发送的数据的准确性、完整性、真实性负责。由于交易结算报告的记载事项出现与实际交易结果和权益不符造成本</w:t>
      </w:r>
      <w:r>
        <w:rPr>
          <w:rFonts w:hint="eastAsia" w:ascii="宋体" w:hAnsi="宋体"/>
          <w:sz w:val="24"/>
        </w:rPr>
        <w:t>基金</w:t>
      </w:r>
      <w:r>
        <w:rPr>
          <w:rFonts w:ascii="宋体" w:hAnsi="宋体"/>
          <w:sz w:val="24"/>
        </w:rPr>
        <w:t>估值计算错误的，应由基金管理人负责向数据发送方追偿，基金托管人不承担责任。</w:t>
      </w:r>
    </w:p>
    <w:p w14:paraId="71C60EB9">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（四）基金管理人与基金托管人进行资金、证券账目和交易记录的核对</w:t>
      </w:r>
      <w:bookmarkEnd w:id="65"/>
    </w:p>
    <w:p w14:paraId="213CAE24">
      <w:pPr>
        <w:tabs>
          <w:tab w:val="left" w:pos="1260"/>
        </w:tabs>
        <w:spacing w:line="360" w:lineRule="auto"/>
        <w:ind w:firstLine="480" w:firstLineChars="200"/>
        <w:rPr>
          <w:rFonts w:ascii="宋体"/>
          <w:sz w:val="24"/>
        </w:rPr>
      </w:pPr>
      <w:r>
        <w:rPr>
          <w:rFonts w:ascii="宋体" w:hAnsi="宋体"/>
          <w:sz w:val="24"/>
        </w:rPr>
        <w:t>对基金的交易记录，由基金管理人按日进行核对。对外披露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14:paraId="53C844B9">
      <w:pPr>
        <w:tabs>
          <w:tab w:val="left" w:pos="1260"/>
        </w:tabs>
        <w:spacing w:line="360" w:lineRule="auto"/>
        <w:ind w:firstLine="480" w:firstLineChars="200"/>
        <w:rPr>
          <w:rFonts w:ascii="宋体"/>
          <w:sz w:val="24"/>
        </w:rPr>
      </w:pPr>
      <w:r>
        <w:rPr>
          <w:rFonts w:ascii="宋体" w:hAnsi="宋体"/>
          <w:sz w:val="24"/>
        </w:rPr>
        <w:t>对实物券账目，相关各方定期进行账实核对。</w:t>
      </w:r>
    </w:p>
    <w:p w14:paraId="15D8EE05">
      <w:pPr>
        <w:tabs>
          <w:tab w:val="left" w:pos="1260"/>
        </w:tabs>
        <w:spacing w:line="360" w:lineRule="auto"/>
        <w:ind w:firstLine="480" w:firstLineChars="200"/>
        <w:rPr>
          <w:rFonts w:ascii="宋体"/>
          <w:b/>
          <w:bCs/>
          <w:sz w:val="24"/>
        </w:rPr>
      </w:pPr>
      <w:r>
        <w:rPr>
          <w:rFonts w:ascii="宋体" w:hAnsi="宋体"/>
          <w:sz w:val="24"/>
        </w:rPr>
        <w:t>基金托管人应定期核对证券账户中的证券数量和种类。</w:t>
      </w:r>
    </w:p>
    <w:p w14:paraId="0CF6782E">
      <w:pPr>
        <w:tabs>
          <w:tab w:val="left" w:pos="1260"/>
        </w:tabs>
        <w:spacing w:line="360" w:lineRule="auto"/>
        <w:ind w:firstLine="480" w:firstLineChars="200"/>
        <w:rPr>
          <w:rFonts w:ascii="宋体" w:hAnsi="宋体"/>
          <w:sz w:val="24"/>
        </w:rPr>
      </w:pPr>
      <w:r>
        <w:rPr>
          <w:rFonts w:ascii="宋体" w:hAnsi="宋体"/>
          <w:sz w:val="24"/>
        </w:rPr>
        <w:t>双方可协商采用电子对账方式进行账目核对。</w:t>
      </w:r>
    </w:p>
    <w:p w14:paraId="243FDC01">
      <w:pPr>
        <w:tabs>
          <w:tab w:val="left" w:pos="3780"/>
        </w:tabs>
        <w:autoSpaceDE w:val="0"/>
        <w:autoSpaceDN w:val="0"/>
        <w:spacing w:before="156" w:after="156" w:line="360" w:lineRule="auto"/>
        <w:outlineLvl w:val="0"/>
        <w:rPr>
          <w:rFonts w:ascii="宋体"/>
          <w:b/>
          <w:bCs/>
          <w:sz w:val="24"/>
        </w:rPr>
      </w:pPr>
      <w:r>
        <w:rPr>
          <w:rFonts w:ascii="宋体" w:hAnsi="宋体"/>
          <w:b/>
          <w:bCs/>
          <w:sz w:val="24"/>
        </w:rPr>
        <w:t>（五）基金的申购、赎回</w:t>
      </w:r>
    </w:p>
    <w:p w14:paraId="209C5EC2">
      <w:pPr>
        <w:tabs>
          <w:tab w:val="left" w:pos="1260"/>
        </w:tabs>
        <w:spacing w:line="360" w:lineRule="auto"/>
        <w:ind w:firstLine="480" w:firstLineChars="200"/>
        <w:rPr>
          <w:rFonts w:ascii="宋体" w:hAnsi="宋体"/>
          <w:sz w:val="24"/>
        </w:rPr>
      </w:pPr>
      <w:r>
        <w:rPr>
          <w:rFonts w:ascii="宋体" w:hAnsi="宋体"/>
          <w:sz w:val="24"/>
        </w:rPr>
        <w:t>1、托管协议当事人在开放式基金的申购赎回中的责任</w:t>
      </w:r>
    </w:p>
    <w:p w14:paraId="3FA926FA">
      <w:pPr>
        <w:tabs>
          <w:tab w:val="left" w:pos="1260"/>
        </w:tabs>
        <w:spacing w:line="360" w:lineRule="auto"/>
        <w:ind w:firstLine="480" w:firstLineChars="200"/>
        <w:rPr>
          <w:rFonts w:ascii="宋体" w:hAnsi="宋体"/>
          <w:sz w:val="24"/>
        </w:rPr>
      </w:pPr>
      <w:r>
        <w:rPr>
          <w:rFonts w:ascii="宋体" w:hAnsi="宋体"/>
          <w:sz w:val="24"/>
        </w:rPr>
        <w:t>基金的投资者可通过本基金的申购赎回代理券商进行申购和赎回申请，基金管理人或其委托的登记机构负责基金份额申购、赎回的确认、清算。</w:t>
      </w:r>
    </w:p>
    <w:p w14:paraId="221763CF">
      <w:pPr>
        <w:tabs>
          <w:tab w:val="left" w:pos="1260"/>
        </w:tabs>
        <w:spacing w:line="360" w:lineRule="auto"/>
        <w:ind w:firstLine="480" w:firstLineChars="200"/>
        <w:rPr>
          <w:rFonts w:ascii="宋体" w:hAnsi="宋体"/>
          <w:sz w:val="24"/>
        </w:rPr>
      </w:pPr>
      <w:r>
        <w:rPr>
          <w:rFonts w:ascii="宋体" w:hAnsi="宋体"/>
          <w:sz w:val="24"/>
        </w:rPr>
        <w:t>2、申购和赎回的清算交收与登记</w:t>
      </w:r>
    </w:p>
    <w:p w14:paraId="79245602">
      <w:pPr>
        <w:tabs>
          <w:tab w:val="left" w:pos="1260"/>
        </w:tabs>
        <w:spacing w:line="360" w:lineRule="auto"/>
        <w:ind w:firstLine="480" w:firstLineChars="200"/>
        <w:rPr>
          <w:rFonts w:ascii="宋体"/>
          <w:sz w:val="24"/>
        </w:rPr>
      </w:pPr>
      <w:r>
        <w:rPr>
          <w:rFonts w:ascii="宋体" w:hAnsi="宋体"/>
          <w:sz w:val="24"/>
        </w:rPr>
        <w:t>基金托管人根据登记机构的结算通知和基金管理人的指令办理。如果登记机构相关的结算交收业务规则发生变更，则按最新规则办理。基金管理人和基金托管人也可经协商一致后，在法律法规规定和《基金合同》约定的范围内，采取其他可行的交收方式。</w:t>
      </w:r>
    </w:p>
    <w:p w14:paraId="71EC5BA3">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（六）基金收益分配的清算交收安排</w:t>
      </w:r>
    </w:p>
    <w:p w14:paraId="68B24ED1">
      <w:pPr>
        <w:tabs>
          <w:tab w:val="left" w:pos="1260"/>
        </w:tabs>
        <w:spacing w:line="360" w:lineRule="auto"/>
        <w:ind w:firstLine="480" w:firstLineChars="200"/>
        <w:rPr>
          <w:rFonts w:ascii="宋体" w:hAnsi="宋体"/>
          <w:sz w:val="24"/>
        </w:rPr>
      </w:pPr>
      <w:r>
        <w:rPr>
          <w:rFonts w:ascii="宋体" w:hAnsi="宋体"/>
          <w:sz w:val="24"/>
        </w:rPr>
        <w:t>1.基金管理人决定收益分配方案并通知基金托管人，经基金托管人复核后依照《信息披露办法》的有关规定在规定媒介公告。</w:t>
      </w:r>
    </w:p>
    <w:p w14:paraId="63AA27B3">
      <w:pPr>
        <w:tabs>
          <w:tab w:val="left" w:pos="1260"/>
        </w:tabs>
        <w:spacing w:line="360" w:lineRule="auto"/>
        <w:ind w:firstLine="480" w:firstLineChars="200"/>
        <w:rPr>
          <w:rFonts w:ascii="宋体" w:hAnsi="宋体"/>
          <w:sz w:val="24"/>
        </w:rPr>
      </w:pPr>
      <w:r>
        <w:rPr>
          <w:rFonts w:ascii="宋体" w:hAnsi="宋体"/>
          <w:sz w:val="24"/>
        </w:rPr>
        <w:t>2.基金托管人和基金管理人对基金收益分配进行账务处理并核对后，基金管理人应及时向基金托管人发送分发现金红利的划款指令，基金托管人依据划款指令在指定划付日及时将资金划至基金管理人指定账户。</w:t>
      </w:r>
    </w:p>
    <w:p w14:paraId="38AA6CC6">
      <w:pPr>
        <w:tabs>
          <w:tab w:val="left" w:pos="1260"/>
        </w:tabs>
        <w:spacing w:line="360" w:lineRule="auto"/>
        <w:ind w:firstLine="480" w:firstLineChars="200"/>
        <w:rPr>
          <w:rFonts w:ascii="宋体"/>
          <w:sz w:val="24"/>
        </w:rPr>
      </w:pPr>
      <w:r>
        <w:rPr>
          <w:rFonts w:ascii="宋体" w:hAnsi="宋体"/>
          <w:sz w:val="24"/>
        </w:rPr>
        <w:t>3.基金管理人在下达分红款支付指令时，应给基金托管人留出必需的划款时间。</w:t>
      </w:r>
      <w:bookmarkStart w:id="66" w:name="_Toc125892444"/>
    </w:p>
    <w:p w14:paraId="40F7DD81">
      <w:pPr>
        <w:pStyle w:val="2"/>
      </w:pPr>
      <w:bookmarkStart w:id="67" w:name="_Toc65162007"/>
      <w:r>
        <w:t>八、基金资产净值计算和会计核算</w:t>
      </w:r>
      <w:bookmarkEnd w:id="63"/>
      <w:bookmarkEnd w:id="64"/>
      <w:bookmarkEnd w:id="66"/>
      <w:bookmarkEnd w:id="67"/>
    </w:p>
    <w:p w14:paraId="16F9A75B">
      <w:pPr>
        <w:tabs>
          <w:tab w:val="left" w:pos="3780"/>
        </w:tabs>
        <w:autoSpaceDE w:val="0"/>
        <w:autoSpaceDN w:val="0"/>
        <w:spacing w:before="156" w:after="156" w:line="360" w:lineRule="auto"/>
        <w:outlineLvl w:val="0"/>
        <w:rPr>
          <w:rFonts w:ascii="宋体"/>
          <w:b/>
          <w:bCs/>
          <w:sz w:val="24"/>
        </w:rPr>
      </w:pPr>
      <w:bookmarkStart w:id="68" w:name="_Toc77663017"/>
      <w:r>
        <w:rPr>
          <w:rFonts w:ascii="宋体" w:hAnsi="宋体"/>
          <w:b/>
          <w:bCs/>
          <w:sz w:val="24"/>
        </w:rPr>
        <w:t>（一）基金资产净值及基金份额净值的计算与复核</w:t>
      </w:r>
      <w:bookmarkEnd w:id="68"/>
    </w:p>
    <w:p w14:paraId="3783C957">
      <w:pPr>
        <w:autoSpaceDE w:val="0"/>
        <w:autoSpaceDN w:val="0"/>
        <w:spacing w:line="360" w:lineRule="auto"/>
        <w:ind w:firstLine="420"/>
        <w:rPr>
          <w:rFonts w:ascii="宋体"/>
          <w:sz w:val="24"/>
        </w:rPr>
      </w:pPr>
      <w:r>
        <w:rPr>
          <w:rFonts w:ascii="宋体" w:hAnsi="宋体"/>
          <w:sz w:val="24"/>
        </w:rPr>
        <w:t>基金资产净值是指基金资产总值减去基金负债后的价值。</w:t>
      </w:r>
    </w:p>
    <w:p w14:paraId="7F300701">
      <w:pPr>
        <w:tabs>
          <w:tab w:val="left" w:pos="1260"/>
        </w:tabs>
        <w:spacing w:line="360" w:lineRule="auto"/>
        <w:ind w:firstLine="480" w:firstLineChars="200"/>
        <w:rPr>
          <w:rFonts w:ascii="宋体"/>
          <w:sz w:val="24"/>
        </w:rPr>
      </w:pPr>
      <w:r>
        <w:rPr>
          <w:rFonts w:ascii="宋体" w:hAnsi="宋体"/>
          <w:sz w:val="24"/>
        </w:rPr>
        <w:t>基金管理人应每</w:t>
      </w:r>
      <w:r>
        <w:rPr>
          <w:rFonts w:hint="eastAsia" w:ascii="宋体" w:hAnsi="宋体"/>
          <w:sz w:val="24"/>
        </w:rPr>
        <w:t>估值</w:t>
      </w:r>
      <w:r>
        <w:rPr>
          <w:rFonts w:ascii="宋体" w:hAnsi="宋体"/>
          <w:sz w:val="24"/>
        </w:rPr>
        <w:t>日对基金资产估值。估值原则应符合《基金合同》、</w:t>
      </w:r>
      <w:r>
        <w:rPr>
          <w:rFonts w:ascii="宋体"/>
          <w:sz w:val="24"/>
        </w:rPr>
        <w:t>《中国证监会关于证券投资基金估值业务的指导意见》</w:t>
      </w:r>
      <w:r>
        <w:rPr>
          <w:rFonts w:ascii="宋体" w:hAnsi="宋体"/>
          <w:sz w:val="24"/>
        </w:rPr>
        <w:t>及其他法律、法规的规定。用于基金信息披露的基金资产净值和基金份额净值由基金管理人负责计算，基金托管人负责进行复核。基金管理人应于每个</w:t>
      </w:r>
      <w:r>
        <w:rPr>
          <w:rFonts w:hint="eastAsia" w:ascii="宋体" w:hAnsi="宋体"/>
          <w:sz w:val="24"/>
        </w:rPr>
        <w:t>估值</w:t>
      </w:r>
      <w:r>
        <w:rPr>
          <w:rFonts w:ascii="宋体" w:hAnsi="宋体"/>
          <w:sz w:val="24"/>
        </w:rPr>
        <w:t>日交易结束后计算当日的基金资产净值和基金份额净值并发送给基金托管人。基金托管人对净值计算结果复核确认后发送给基金管理人，由基金管理人对基金净值信息按约定予以公布。</w:t>
      </w:r>
    </w:p>
    <w:p w14:paraId="6B608ED1">
      <w:pPr>
        <w:tabs>
          <w:tab w:val="left" w:pos="1260"/>
        </w:tabs>
        <w:spacing w:line="360" w:lineRule="auto"/>
        <w:ind w:firstLine="480" w:firstLineChars="200"/>
        <w:rPr>
          <w:rFonts w:ascii="宋体"/>
          <w:sz w:val="24"/>
        </w:rPr>
      </w:pPr>
      <w:r>
        <w:rPr>
          <w:rFonts w:ascii="宋体" w:hAnsi="宋体"/>
          <w:sz w:val="24"/>
        </w:rPr>
        <w:t>本基金按以下方法估值：</w:t>
      </w:r>
    </w:p>
    <w:p w14:paraId="53B19E50">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1、证券交易所上市的有价证券的估值</w:t>
      </w:r>
    </w:p>
    <w:p w14:paraId="058F4CDD">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D9B5A5E">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（2）交易所上市不存在活跃市场的有价证券，采用估值技术确定公允价值。</w:t>
      </w:r>
    </w:p>
    <w:p w14:paraId="3E9D2224">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2、处于未上市期间的有价证券应区分如下情况处理：</w:t>
      </w:r>
    </w:p>
    <w:p w14:paraId="07854995">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（1）送股、转增股、配股和公开增发的新股，按估值日在证券交易所挂牌的同一股票的估值方法估值；该日无交易的，以最近一日的市价（收盘价）估值；</w:t>
      </w:r>
    </w:p>
    <w:p w14:paraId="64533510">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（2）首次公开发行未上市的股票，采用估值技术确定公允价值，在估值技术难以可靠计量公允价值的情况下，按成本估值；</w:t>
      </w:r>
    </w:p>
    <w:p w14:paraId="26F6CA58">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0C8E497">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3、以公允价值计量的固定收益品种</w:t>
      </w:r>
    </w:p>
    <w:p w14:paraId="05E0C9CF">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（1）对于已上市或已挂牌转让的不含权固定收益品种，选取第三方估值基准服务机构提供的相应品种当日的估值全价；</w:t>
      </w:r>
    </w:p>
    <w:p w14:paraId="348E2411">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（2）对于已上市或已挂牌转让的含权固定收益品种，选取第三方估值基准服务机构提供的相应品种当日的唯一估值全价或推荐估值全价；</w:t>
      </w:r>
    </w:p>
    <w:p w14:paraId="248ED036">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CBBF2CB">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6DA77D4">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（5）对于未上市或未挂牌转让且不存在活跃市场的固定收益品种，应采用在当前情况下适用并且有足够可利用数据和其他信息支持的估值技术确定其公允价值。</w:t>
      </w:r>
    </w:p>
    <w:p w14:paraId="0D96B251">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4、同一证券同时在两个或两个以上市场交易的，按证券所处的市场分别估值。</w:t>
      </w:r>
    </w:p>
    <w:p w14:paraId="407BCDD2">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21AB16E">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6、本基金投资股指期货合约，一般以股指期货估值日的结算价进行估值，估值当日无结算价的，且最近交易日后经济环境未发生重大变化的，采用最近交易日结算价估值。</w:t>
      </w:r>
    </w:p>
    <w:p w14:paraId="318AF29A">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7、本基金投资股票期权合约，一般以股票期权估值日的结算价进行估值，估值当日无结算价的，且最近交易日后经济环境未发生重大变化的，采用最近交易日结算价估值。</w:t>
      </w:r>
    </w:p>
    <w:p w14:paraId="3DEDDF61">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8、本基金投资国债期货合约，一般以国债期货估值日的结算价进行估值，估值当日无结算价的，且最近交易日后经济环境未发生重大变化的，采用最近交易日结算价估值。</w:t>
      </w:r>
    </w:p>
    <w:p w14:paraId="07283AD2">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9、本基金投资存托凭证的估值核算，依照境内上市交易的股票进行。</w:t>
      </w:r>
    </w:p>
    <w:p w14:paraId="581ABE47">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10、本基金参与融资和转融通证券出借业务的，按照相关法律法规和行业协会的相关规定进行估值。</w:t>
      </w:r>
    </w:p>
    <w:p w14:paraId="77A1472A">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11、如有确凿证据表明按上述方法进行估值不能客观反映其公允价值的，基金管理人可根据具体情况与基金托管人商定后，按最能反映公允价值的价格估值。</w:t>
      </w:r>
    </w:p>
    <w:p w14:paraId="1AC5F23E">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12、相关法律法规以及监管部门有强制规定的，从其规定。如有新增事项，按国家最新规定估值。</w:t>
      </w:r>
    </w:p>
    <w:p w14:paraId="107F746A">
      <w:pPr>
        <w:pStyle w:val="216"/>
        <w:spacing w:line="360" w:lineRule="auto"/>
        <w:ind w:firstLine="480"/>
        <w:rPr>
          <w:rStyle w:val="220"/>
          <w:rFonts w:ascii="宋体" w:hAnsi="宋体" w:cs="宋体"/>
          <w:sz w:val="24"/>
          <w:szCs w:val="24"/>
        </w:rPr>
      </w:pPr>
      <w:r>
        <w:rPr>
          <w:rStyle w:val="220"/>
          <w:rFonts w:hint="eastAsia" w:ascii="宋体" w:hAnsi="宋体" w:cs="宋体"/>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06556B08">
      <w:pPr>
        <w:pStyle w:val="216"/>
        <w:spacing w:line="360" w:lineRule="auto"/>
        <w:ind w:firstLine="480"/>
        <w:rPr>
          <w:rFonts w:eastAsia="Times New Roman"/>
          <w:sz w:val="24"/>
          <w:szCs w:val="24"/>
        </w:rPr>
      </w:pPr>
      <w:r>
        <w:rPr>
          <w:rStyle w:val="220"/>
          <w:rFonts w:hint="eastAsia" w:ascii="宋体" w:hAnsi="宋体" w:cs="宋体"/>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D170C4F">
      <w:pPr>
        <w:tabs>
          <w:tab w:val="left" w:pos="3780"/>
        </w:tabs>
        <w:autoSpaceDE w:val="0"/>
        <w:autoSpaceDN w:val="0"/>
        <w:spacing w:before="156" w:after="156" w:line="360" w:lineRule="auto"/>
        <w:outlineLvl w:val="0"/>
        <w:rPr>
          <w:rFonts w:ascii="宋体"/>
          <w:b/>
          <w:bCs/>
          <w:sz w:val="24"/>
        </w:rPr>
      </w:pPr>
      <w:r>
        <w:rPr>
          <w:rFonts w:ascii="宋体" w:hAnsi="宋体"/>
          <w:b/>
          <w:bCs/>
          <w:sz w:val="24"/>
        </w:rPr>
        <w:t>（二）净值差错处理</w:t>
      </w:r>
    </w:p>
    <w:p w14:paraId="3D95D823">
      <w:pPr>
        <w:autoSpaceDE w:val="0"/>
        <w:autoSpaceDN w:val="0"/>
        <w:spacing w:line="360" w:lineRule="auto"/>
        <w:ind w:firstLine="420"/>
        <w:rPr>
          <w:rFonts w:ascii="宋体" w:hAnsi="宋体"/>
          <w:sz w:val="24"/>
        </w:rPr>
      </w:pPr>
      <w:r>
        <w:rPr>
          <w:rFonts w:ascii="宋体" w:hAnsi="宋体"/>
          <w:sz w:val="24"/>
        </w:rPr>
        <w:t>当发生净值计算错误时，由基金管理人负责处理，由此给基金份额持有人和基金造成损失的，由基金管理人对基金份额持有人或者基金先行支付赔偿金。基金管理人和基金托管人应根据实际情况界定双方承担的责任，经确认后按以下条款进行赔偿。</w:t>
      </w:r>
    </w:p>
    <w:p w14:paraId="517FD15B">
      <w:pPr>
        <w:tabs>
          <w:tab w:val="left" w:pos="1260"/>
        </w:tabs>
        <w:spacing w:line="360" w:lineRule="auto"/>
        <w:ind w:firstLine="480" w:firstLineChars="200"/>
        <w:rPr>
          <w:rFonts w:ascii="宋体"/>
          <w:sz w:val="24"/>
        </w:rPr>
      </w:pPr>
      <w:r>
        <w:rPr>
          <w:rFonts w:ascii="宋体" w:hAnsi="宋体"/>
          <w:sz w:val="24"/>
        </w:rPr>
        <w:t>1.如采用本协议第八章</w:t>
      </w:r>
      <w:r>
        <w:rPr>
          <w:rFonts w:hint="eastAsia" w:ascii="宋体" w:hAnsi="宋体"/>
          <w:sz w:val="24"/>
        </w:rPr>
        <w:t>“</w:t>
      </w:r>
      <w:r>
        <w:rPr>
          <w:rFonts w:ascii="宋体" w:hAnsi="宋体"/>
          <w:sz w:val="24"/>
        </w:rPr>
        <w:t>基金资产净值及基金份额净值的计算与复核</w:t>
      </w:r>
      <w:r>
        <w:rPr>
          <w:rFonts w:hint="eastAsia" w:ascii="宋体"/>
          <w:sz w:val="24"/>
        </w:rPr>
        <w:t>”</w:t>
      </w:r>
      <w:r>
        <w:rPr>
          <w:rFonts w:ascii="宋体" w:hAnsi="宋体"/>
          <w:sz w:val="24"/>
        </w:rPr>
        <w:t>中估值方法的第1－10、12</w:t>
      </w:r>
      <w:r>
        <w:rPr>
          <w:rFonts w:hint="eastAsia" w:ascii="宋体" w:hAnsi="宋体"/>
          <w:sz w:val="24"/>
        </w:rPr>
        <w:t>项</w:t>
      </w:r>
      <w:r>
        <w:rPr>
          <w:rFonts w:ascii="宋体" w:hAnsi="宋体"/>
          <w:sz w:val="24"/>
        </w:rPr>
        <w:t>进行处理时，若基金管理人净值计算出错，基金托管人在复核过程中没有发现，且造成基金份额持有人损失的，应根据法律法规的规定对投资者或基金支付赔偿金，就实际向投资者或基金支付的赔偿金额，由基金管理人与基金托管人按照管理费率和托管费率的比例各自承担相应的责任</w:t>
      </w:r>
      <w:r>
        <w:rPr>
          <w:rFonts w:ascii="宋体" w:hAnsi="宋体"/>
          <w:color w:val="000000"/>
          <w:sz w:val="24"/>
        </w:rPr>
        <w:t>；</w:t>
      </w:r>
    </w:p>
    <w:p w14:paraId="57645707">
      <w:pPr>
        <w:tabs>
          <w:tab w:val="left" w:pos="1260"/>
        </w:tabs>
        <w:spacing w:line="360" w:lineRule="auto"/>
        <w:ind w:firstLine="480" w:firstLineChars="200"/>
        <w:rPr>
          <w:rFonts w:ascii="宋体" w:hAnsi="宋体"/>
          <w:sz w:val="24"/>
        </w:rPr>
      </w:pPr>
      <w:r>
        <w:rPr>
          <w:rFonts w:ascii="宋体" w:hAnsi="宋体"/>
          <w:sz w:val="24"/>
        </w:rPr>
        <w:t>2.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以及因该交易日基金资产净值计算顺延错误而引起的损失，由基金管理人负责赔付，基金托管人不负赔偿责任；</w:t>
      </w:r>
    </w:p>
    <w:p w14:paraId="10360FBD">
      <w:pPr>
        <w:tabs>
          <w:tab w:val="left" w:pos="1260"/>
        </w:tabs>
        <w:spacing w:line="360" w:lineRule="auto"/>
        <w:ind w:firstLine="480" w:firstLineChars="200"/>
        <w:rPr>
          <w:rFonts w:ascii="宋体" w:hAnsi="宋体"/>
          <w:sz w:val="24"/>
        </w:rPr>
      </w:pPr>
      <w:r>
        <w:rPr>
          <w:rFonts w:ascii="宋体"/>
          <w:sz w:val="24"/>
        </w:rPr>
        <w:t>3.</w:t>
      </w:r>
      <w:r>
        <w:rPr>
          <w:rFonts w:ascii="宋体" w:hAnsi="宋体"/>
          <w:sz w:val="24"/>
        </w:rPr>
        <w:t>基金管理人、基金托管人按估值方法的第11项进行估值时，所造成的误差不作为基金资产估值错误处理。</w:t>
      </w:r>
    </w:p>
    <w:p w14:paraId="08598434">
      <w:pPr>
        <w:tabs>
          <w:tab w:val="left" w:pos="1260"/>
        </w:tabs>
        <w:spacing w:line="360" w:lineRule="auto"/>
        <w:ind w:firstLine="480" w:firstLineChars="200"/>
        <w:rPr>
          <w:rFonts w:ascii="宋体"/>
          <w:sz w:val="24"/>
        </w:rPr>
      </w:pPr>
      <w:r>
        <w:rPr>
          <w:rStyle w:val="219"/>
          <w:rFonts w:ascii="宋体" w:hAnsi="宋体" w:cs="宋体"/>
          <w:sz w:val="24"/>
          <w:szCs w:val="24"/>
        </w:rPr>
        <w:t>由于证券/期货交易所、指数编制机构及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3A6C3E68">
      <w:pPr>
        <w:tabs>
          <w:tab w:val="left" w:pos="1260"/>
        </w:tabs>
        <w:spacing w:line="360" w:lineRule="auto"/>
        <w:ind w:firstLine="480" w:firstLineChars="200"/>
        <w:rPr>
          <w:rFonts w:ascii="宋体" w:hAnsi="宋体"/>
          <w:sz w:val="24"/>
        </w:rPr>
      </w:pPr>
      <w:r>
        <w:rPr>
          <w:rFonts w:ascii="宋体" w:hAnsi="宋体"/>
          <w:sz w:val="24"/>
        </w:rPr>
        <w:t>针对净值差错处理，如果法律法规或中国证监会有新的规定，则按新的规定执行；如果行业有通行做法，</w:t>
      </w:r>
      <w:bookmarkStart w:id="69" w:name="_Hlk191743548"/>
      <w:r>
        <w:rPr>
          <w:rFonts w:ascii="宋体" w:hAnsi="宋体"/>
          <w:sz w:val="24"/>
        </w:rPr>
        <w:t>在不违</w:t>
      </w:r>
      <w:r>
        <w:rPr>
          <w:rFonts w:hint="eastAsia" w:ascii="宋体" w:hAnsi="宋体"/>
          <w:sz w:val="24"/>
        </w:rPr>
        <w:t>反</w:t>
      </w:r>
      <w:r>
        <w:rPr>
          <w:rFonts w:ascii="宋体" w:hAnsi="宋体"/>
          <w:sz w:val="24"/>
        </w:rPr>
        <w:t>法律法规且不损害投资者利益的前提下，</w:t>
      </w:r>
      <w:bookmarkEnd w:id="69"/>
      <w:r>
        <w:rPr>
          <w:rFonts w:ascii="宋体" w:hAnsi="宋体"/>
          <w:sz w:val="24"/>
        </w:rPr>
        <w:t>双方应本着</w:t>
      </w:r>
      <w:r>
        <w:rPr>
          <w:rFonts w:ascii="宋体"/>
          <w:sz w:val="24"/>
        </w:rPr>
        <w:t>平等和保护基金份额持有人利益的</w:t>
      </w:r>
      <w:r>
        <w:rPr>
          <w:rFonts w:ascii="宋体" w:hAnsi="宋体"/>
          <w:sz w:val="24"/>
        </w:rPr>
        <w:t>原则重新协商确定处理原则。</w:t>
      </w:r>
    </w:p>
    <w:p w14:paraId="7E59F7B0">
      <w:pPr>
        <w:tabs>
          <w:tab w:val="left" w:pos="3780"/>
        </w:tabs>
        <w:autoSpaceDE w:val="0"/>
        <w:autoSpaceDN w:val="0"/>
        <w:spacing w:before="156" w:after="156" w:line="360" w:lineRule="auto"/>
        <w:outlineLvl w:val="0"/>
        <w:rPr>
          <w:rFonts w:ascii="宋体"/>
          <w:b/>
          <w:sz w:val="24"/>
        </w:rPr>
      </w:pPr>
      <w:r>
        <w:rPr>
          <w:rFonts w:ascii="宋体"/>
          <w:b/>
          <w:sz w:val="24"/>
        </w:rPr>
        <w:t>（三）基金</w:t>
      </w:r>
      <w:r>
        <w:rPr>
          <w:rFonts w:ascii="宋体" w:hAnsi="宋体"/>
          <w:b/>
          <w:bCs/>
          <w:sz w:val="24"/>
        </w:rPr>
        <w:t>会计制度</w:t>
      </w:r>
    </w:p>
    <w:p w14:paraId="2AFD1B69">
      <w:pPr>
        <w:autoSpaceDE w:val="0"/>
        <w:autoSpaceDN w:val="0"/>
        <w:spacing w:line="360" w:lineRule="auto"/>
        <w:ind w:firstLine="420"/>
        <w:rPr>
          <w:rFonts w:ascii="宋体"/>
          <w:sz w:val="24"/>
        </w:rPr>
      </w:pPr>
      <w:r>
        <w:rPr>
          <w:rFonts w:ascii="宋体"/>
          <w:sz w:val="24"/>
        </w:rPr>
        <w:t>按国家有关部门制定的会计制度执行。</w:t>
      </w:r>
    </w:p>
    <w:p w14:paraId="10C34F2C">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（四）基金账册的建立</w:t>
      </w:r>
    </w:p>
    <w:p w14:paraId="073FFB94">
      <w:pPr>
        <w:tabs>
          <w:tab w:val="left" w:pos="1260"/>
        </w:tabs>
        <w:spacing w:line="360" w:lineRule="auto"/>
        <w:ind w:firstLine="480" w:firstLineChars="200"/>
        <w:rPr>
          <w:rFonts w:ascii="宋体"/>
          <w:sz w:val="24"/>
        </w:rPr>
      </w:pPr>
      <w:r>
        <w:rPr>
          <w:rFonts w:ascii="宋体" w:hAnsi="宋体"/>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799AB4C2">
      <w:pPr>
        <w:tabs>
          <w:tab w:val="left" w:pos="3780"/>
        </w:tabs>
        <w:autoSpaceDE w:val="0"/>
        <w:autoSpaceDN w:val="0"/>
        <w:spacing w:before="156" w:after="156" w:line="360" w:lineRule="auto"/>
        <w:outlineLvl w:val="0"/>
        <w:rPr>
          <w:rFonts w:ascii="宋体"/>
          <w:b/>
          <w:bCs/>
          <w:sz w:val="24"/>
        </w:rPr>
      </w:pPr>
      <w:r>
        <w:rPr>
          <w:rFonts w:ascii="宋体" w:hAnsi="宋体"/>
          <w:b/>
          <w:bCs/>
          <w:sz w:val="24"/>
        </w:rPr>
        <w:t>（五）会计数据和财务指标的核对</w:t>
      </w:r>
    </w:p>
    <w:p w14:paraId="42DC1727">
      <w:pPr>
        <w:tabs>
          <w:tab w:val="left" w:pos="1260"/>
        </w:tabs>
        <w:spacing w:line="360" w:lineRule="auto"/>
        <w:ind w:firstLine="480" w:firstLineChars="200"/>
        <w:rPr>
          <w:rFonts w:ascii="宋体"/>
          <w:sz w:val="24"/>
        </w:rPr>
      </w:pPr>
      <w:r>
        <w:rPr>
          <w:rFonts w:ascii="宋体" w:hAnsi="宋体"/>
          <w:sz w:val="24"/>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14:paraId="6DAB734F">
      <w:pPr>
        <w:tabs>
          <w:tab w:val="left" w:pos="3780"/>
        </w:tabs>
        <w:autoSpaceDE w:val="0"/>
        <w:autoSpaceDN w:val="0"/>
        <w:spacing w:before="156" w:after="156" w:line="360" w:lineRule="auto"/>
        <w:outlineLvl w:val="0"/>
        <w:rPr>
          <w:rFonts w:ascii="宋体"/>
          <w:b/>
          <w:bCs/>
          <w:sz w:val="24"/>
        </w:rPr>
      </w:pPr>
      <w:r>
        <w:rPr>
          <w:rFonts w:ascii="宋体" w:hAnsi="宋体"/>
          <w:b/>
          <w:bCs/>
          <w:sz w:val="24"/>
        </w:rPr>
        <w:t>（六）基金定期报告的编制和复核</w:t>
      </w:r>
    </w:p>
    <w:p w14:paraId="7C982128">
      <w:pPr>
        <w:pStyle w:val="216"/>
        <w:spacing w:line="360" w:lineRule="auto"/>
        <w:ind w:firstLine="480"/>
        <w:rPr>
          <w:sz w:val="24"/>
          <w:szCs w:val="24"/>
        </w:rPr>
      </w:pPr>
      <w:r>
        <w:rPr>
          <w:rFonts w:ascii="宋体" w:hAnsi="宋体"/>
          <w:sz w:val="24"/>
        </w:rPr>
        <w:t>基金财务报表由基金管理人和基金托管人每月分别独立编制。月度报表的编制，应于每月结束后5个工作日内完成。定期报告文件应按中国证监会的要求公告。季度报告的编制，应于每季度终了后15个工作日内完成；</w:t>
      </w:r>
      <w:r>
        <w:rPr>
          <w:sz w:val="24"/>
        </w:rPr>
        <w:t>基金招募说明书、基金产品资料概要的信息发生重大变更的，基金管理人应当在3个工作日内，更新基金招募说明书和基金产品资料概要并登载在规定网站上，</w:t>
      </w:r>
      <w:r>
        <w:rPr>
          <w:rFonts w:ascii="宋体" w:hAnsi="宋体"/>
          <w:sz w:val="24"/>
          <w:szCs w:val="24"/>
        </w:rPr>
        <w:t>基金产品资料概要</w:t>
      </w:r>
      <w:r>
        <w:rPr>
          <w:rFonts w:ascii="宋体" w:hAnsi="宋体"/>
          <w:sz w:val="24"/>
        </w:rPr>
        <w:t>还应</w:t>
      </w:r>
      <w:r>
        <w:rPr>
          <w:rFonts w:ascii="宋体" w:hAnsi="宋体"/>
          <w:sz w:val="24"/>
          <w:szCs w:val="24"/>
        </w:rPr>
        <w:t>登载在基金销售机构网站或营业网点</w:t>
      </w:r>
      <w:r>
        <w:rPr>
          <w:sz w:val="24"/>
        </w:rPr>
        <w:t>；基金招募说明书、基金产品资料概要的其他信息发生变更的，基金管理人至少每年更新一次。</w:t>
      </w:r>
      <w:r>
        <w:rPr>
          <w:rFonts w:ascii="宋体" w:hAnsi="宋体"/>
          <w:sz w:val="24"/>
          <w:szCs w:val="24"/>
        </w:rPr>
        <w:t>基金终止运作的，基金管理人不再更新</w:t>
      </w:r>
      <w:r>
        <w:rPr>
          <w:sz w:val="24"/>
        </w:rPr>
        <w:t>基金招募说明书、</w:t>
      </w:r>
      <w:r>
        <w:rPr>
          <w:rFonts w:ascii="宋体" w:hAnsi="宋体"/>
          <w:sz w:val="24"/>
          <w:szCs w:val="24"/>
        </w:rPr>
        <w:t>基金产品资料概要。</w:t>
      </w:r>
    </w:p>
    <w:p w14:paraId="3DCBBD7F">
      <w:pPr>
        <w:tabs>
          <w:tab w:val="left" w:pos="1260"/>
        </w:tabs>
        <w:spacing w:line="360" w:lineRule="auto"/>
        <w:ind w:firstLine="480" w:firstLineChars="200"/>
        <w:rPr>
          <w:rFonts w:ascii="宋体"/>
          <w:sz w:val="24"/>
        </w:rPr>
      </w:pPr>
      <w:r>
        <w:rPr>
          <w:rFonts w:ascii="宋体" w:hAnsi="宋体"/>
          <w:sz w:val="24"/>
        </w:rPr>
        <w:t>中期报告在上半年结束之日起2个月内公告；年度报告在每年结束之日起3个月内公告。如果基金合同生效不足2个月的，基金管理人可以不编制当期季度报告、中期报告或者年度报告。</w:t>
      </w:r>
    </w:p>
    <w:p w14:paraId="1869C50F">
      <w:pPr>
        <w:tabs>
          <w:tab w:val="left" w:pos="1260"/>
        </w:tabs>
        <w:spacing w:line="360" w:lineRule="auto"/>
        <w:ind w:firstLine="480" w:firstLineChars="200"/>
        <w:rPr>
          <w:rFonts w:ascii="宋体"/>
          <w:sz w:val="24"/>
        </w:rPr>
      </w:pPr>
      <w:r>
        <w:rPr>
          <w:rFonts w:ascii="宋体" w:hAnsi="宋体"/>
          <w:sz w:val="24"/>
        </w:rPr>
        <w:t>基金管理人在月初3个工作日内完成上个月月度报表的编制，以约定方式将有关报表提供基金托管人；基金托管人收到后在2个工作日内进行复核，并将复核结果及时书面或以双方约定的其他方式通知基金管理人。对于季度报告、中期报告、年度报告、更新招募说明书、更新基金产品资料概要等，基金管理人和基金托管人应在上述监管部门规定的时间内完成编制、复核及公告。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14:paraId="27D0C481">
      <w:pPr>
        <w:tabs>
          <w:tab w:val="left" w:pos="1260"/>
        </w:tabs>
        <w:spacing w:line="360" w:lineRule="auto"/>
        <w:ind w:firstLine="480" w:firstLineChars="200"/>
        <w:rPr>
          <w:rFonts w:ascii="宋体"/>
          <w:sz w:val="24"/>
        </w:rPr>
      </w:pPr>
      <w:r>
        <w:rPr>
          <w:rFonts w:ascii="宋体" w:hAnsi="宋体"/>
          <w:sz w:val="24"/>
        </w:rPr>
        <w:t>基金托管人对上述报告复核完毕后，可以出具复核确认书（盖章）或以其他双方约定的方式确认，以备有权机构对相关文件审核检查。</w:t>
      </w:r>
      <w:bookmarkStart w:id="70" w:name="_Toc22454461"/>
      <w:bookmarkStart w:id="71" w:name="_Toc523830000"/>
      <w:bookmarkStart w:id="72" w:name="_Toc125892445"/>
      <w:bookmarkStart w:id="73" w:name="_Toc466788859"/>
    </w:p>
    <w:p w14:paraId="24BCC08B">
      <w:pPr>
        <w:pStyle w:val="2"/>
      </w:pPr>
      <w:bookmarkStart w:id="74" w:name="_Toc65162008"/>
      <w:r>
        <w:t>九、基金收益分配</w:t>
      </w:r>
      <w:bookmarkEnd w:id="70"/>
      <w:bookmarkEnd w:id="71"/>
      <w:bookmarkEnd w:id="72"/>
      <w:bookmarkEnd w:id="73"/>
      <w:bookmarkEnd w:id="74"/>
    </w:p>
    <w:p w14:paraId="70345919">
      <w:pPr>
        <w:tabs>
          <w:tab w:val="left" w:pos="1260"/>
        </w:tabs>
        <w:spacing w:line="360" w:lineRule="auto"/>
        <w:ind w:firstLine="480" w:firstLineChars="200"/>
        <w:rPr>
          <w:rFonts w:ascii="宋体"/>
          <w:sz w:val="24"/>
        </w:rPr>
      </w:pPr>
      <w:r>
        <w:rPr>
          <w:rFonts w:ascii="宋体" w:hAnsi="宋体"/>
          <w:sz w:val="24"/>
        </w:rPr>
        <w:t>基金可供分配利润指截至收益分配基准日基金未分配利润与未分配利润中已实现收益的孰低数。</w:t>
      </w:r>
    </w:p>
    <w:p w14:paraId="2BF95605">
      <w:pPr>
        <w:tabs>
          <w:tab w:val="left" w:pos="3780"/>
        </w:tabs>
        <w:autoSpaceDE w:val="0"/>
        <w:autoSpaceDN w:val="0"/>
        <w:spacing w:before="156" w:after="156" w:line="360" w:lineRule="auto"/>
        <w:outlineLvl w:val="0"/>
        <w:rPr>
          <w:rFonts w:ascii="宋体"/>
          <w:b/>
          <w:bCs/>
          <w:sz w:val="24"/>
        </w:rPr>
      </w:pPr>
      <w:r>
        <w:rPr>
          <w:rFonts w:ascii="宋体" w:hAnsi="宋体"/>
          <w:b/>
          <w:bCs/>
          <w:sz w:val="24"/>
        </w:rPr>
        <w:t>（一）基金收益分配应符合基金合同中收益分配原则的规定，具体规定如下：</w:t>
      </w:r>
    </w:p>
    <w:p w14:paraId="10891B5E">
      <w:pPr>
        <w:pStyle w:val="216"/>
        <w:spacing w:line="360" w:lineRule="auto"/>
        <w:ind w:firstLine="480"/>
        <w:rPr>
          <w:rFonts w:ascii="宋体" w:hAnsi="宋体" w:cs="宋体"/>
          <w:sz w:val="24"/>
          <w:szCs w:val="24"/>
        </w:rPr>
      </w:pPr>
      <w:r>
        <w:rPr>
          <w:rFonts w:hint="eastAsia" w:ascii="宋体" w:hAnsi="宋体" w:cs="宋体"/>
          <w:sz w:val="24"/>
          <w:szCs w:val="24"/>
        </w:rPr>
        <w:t>1、《基金合同》生效不满3个月可不进行收益分配；</w:t>
      </w:r>
    </w:p>
    <w:p w14:paraId="18E308C7">
      <w:pPr>
        <w:pStyle w:val="216"/>
        <w:spacing w:line="360" w:lineRule="auto"/>
        <w:ind w:firstLine="480"/>
        <w:rPr>
          <w:rFonts w:ascii="宋体" w:hAnsi="宋体" w:cs="宋体"/>
          <w:sz w:val="24"/>
          <w:szCs w:val="24"/>
        </w:rPr>
      </w:pPr>
      <w:r>
        <w:rPr>
          <w:rFonts w:hint="eastAsia" w:ascii="宋体" w:hAnsi="宋体" w:cs="宋体"/>
          <w:sz w:val="24"/>
          <w:szCs w:val="24"/>
        </w:rPr>
        <w:t>2、本基金收益分配采用现金分红；</w:t>
      </w:r>
    </w:p>
    <w:p w14:paraId="1449FE33">
      <w:pPr>
        <w:pStyle w:val="216"/>
        <w:spacing w:line="360" w:lineRule="auto"/>
        <w:ind w:firstLine="480"/>
        <w:rPr>
          <w:rFonts w:ascii="宋体" w:hAnsi="宋体" w:cs="宋体"/>
          <w:sz w:val="24"/>
          <w:szCs w:val="24"/>
        </w:rPr>
      </w:pPr>
      <w:r>
        <w:rPr>
          <w:rFonts w:hint="eastAsia" w:ascii="宋体" w:hAnsi="宋体" w:cs="宋体"/>
          <w:sz w:val="24"/>
          <w:szCs w:val="24"/>
        </w:rPr>
        <w:t>3、每一基金份额享有同等分配权；</w:t>
      </w:r>
    </w:p>
    <w:p w14:paraId="59C62A85">
      <w:pPr>
        <w:pStyle w:val="216"/>
        <w:spacing w:line="360" w:lineRule="auto"/>
        <w:ind w:firstLine="480"/>
        <w:rPr>
          <w:rFonts w:ascii="宋体" w:hAnsi="宋体" w:cs="宋体"/>
          <w:sz w:val="24"/>
          <w:szCs w:val="24"/>
        </w:rPr>
      </w:pPr>
      <w:r>
        <w:rPr>
          <w:rFonts w:hint="eastAsia" w:ascii="宋体" w:hAnsi="宋体" w:cs="宋体"/>
          <w:sz w:val="24"/>
          <w:szCs w:val="24"/>
        </w:rPr>
        <w:t>4、基金管理人可对基金相对标的指数的超额收益率和/或基金的可供分配利润进行评价，当收益评价日核定的超额收益率或者基金可供分配利润金额大于零时，基金管理人可进行收益分配；</w:t>
      </w:r>
    </w:p>
    <w:p w14:paraId="1646A801">
      <w:pPr>
        <w:pStyle w:val="216"/>
        <w:spacing w:line="360" w:lineRule="auto"/>
        <w:ind w:firstLine="480"/>
        <w:rPr>
          <w:rFonts w:ascii="宋体" w:hAnsi="宋体" w:cs="宋体"/>
          <w:sz w:val="24"/>
          <w:szCs w:val="24"/>
        </w:rPr>
      </w:pPr>
      <w:r>
        <w:rPr>
          <w:rFonts w:hint="eastAsia" w:ascii="宋体" w:hAnsi="宋体" w:cs="宋体"/>
          <w:sz w:val="24"/>
          <w:szCs w:val="24"/>
        </w:rPr>
        <w:t>5、当基金收益分配根据基金相对标的指数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14:paraId="17942437">
      <w:pPr>
        <w:pStyle w:val="216"/>
        <w:spacing w:line="360" w:lineRule="auto"/>
        <w:ind w:firstLine="480"/>
        <w:rPr>
          <w:rFonts w:ascii="宋体" w:hAnsi="宋体" w:cs="宋体"/>
          <w:sz w:val="24"/>
          <w:szCs w:val="24"/>
        </w:rPr>
      </w:pPr>
      <w:r>
        <w:rPr>
          <w:rFonts w:hint="eastAsia" w:ascii="宋体" w:hAnsi="宋体" w:cs="宋体"/>
          <w:sz w:val="24"/>
          <w:szCs w:val="24"/>
        </w:rPr>
        <w:t>6、法律法规或监管机构另有规定的，从其规定。</w:t>
      </w:r>
    </w:p>
    <w:p w14:paraId="1941AF8D">
      <w:pPr>
        <w:pStyle w:val="216"/>
        <w:spacing w:line="360" w:lineRule="auto"/>
        <w:ind w:firstLine="480"/>
        <w:rPr>
          <w:rFonts w:eastAsia="Times New Roman"/>
          <w:sz w:val="24"/>
          <w:szCs w:val="24"/>
        </w:rPr>
      </w:pPr>
      <w:r>
        <w:rPr>
          <w:rFonts w:hint="eastAsia" w:ascii="宋体" w:hAnsi="宋体" w:cs="宋体"/>
          <w:sz w:val="24"/>
          <w:szCs w:val="24"/>
        </w:rPr>
        <w:t>在不违反法律法规且对基金份额持有人利益无实质性不利影响的前提下，基金管理人可对基金收益分配原则进行调整，无需召开基金份额持有人大会。</w:t>
      </w:r>
    </w:p>
    <w:p w14:paraId="6B8B7604">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（二）基金收益分配方案的确定与公告</w:t>
      </w:r>
    </w:p>
    <w:p w14:paraId="20A2C629">
      <w:pPr>
        <w:pStyle w:val="216"/>
        <w:spacing w:line="360" w:lineRule="auto"/>
        <w:ind w:firstLine="480"/>
        <w:rPr>
          <w:rFonts w:eastAsia="Times New Roman"/>
          <w:sz w:val="24"/>
          <w:szCs w:val="24"/>
        </w:rPr>
      </w:pPr>
      <w:bookmarkStart w:id="75" w:name="_Toc466788861"/>
      <w:bookmarkStart w:id="76" w:name="_Toc523830002"/>
      <w:bookmarkStart w:id="77" w:name="_Toc22454465"/>
      <w:r>
        <w:rPr>
          <w:rFonts w:ascii="宋体" w:hAnsi="宋体" w:cs="宋体"/>
          <w:sz w:val="24"/>
          <w:szCs w:val="24"/>
        </w:rPr>
        <w:t>本基金收益分配方案由基金管理人拟定，并由基金托管人复核，在2日内在规定媒介公告。</w:t>
      </w:r>
    </w:p>
    <w:p w14:paraId="4E15B600">
      <w:pPr>
        <w:pStyle w:val="2"/>
      </w:pPr>
      <w:bookmarkStart w:id="78" w:name="_Toc125892446"/>
      <w:bookmarkStart w:id="79" w:name="_Toc65162009"/>
      <w:r>
        <w:t>十、基金信息披露</w:t>
      </w:r>
      <w:bookmarkEnd w:id="75"/>
      <w:bookmarkEnd w:id="76"/>
      <w:bookmarkEnd w:id="77"/>
      <w:bookmarkEnd w:id="78"/>
      <w:bookmarkEnd w:id="79"/>
    </w:p>
    <w:p w14:paraId="5E5B709E">
      <w:pPr>
        <w:tabs>
          <w:tab w:val="left" w:pos="3780"/>
        </w:tabs>
        <w:autoSpaceDE w:val="0"/>
        <w:autoSpaceDN w:val="0"/>
        <w:spacing w:before="156" w:after="156" w:line="360" w:lineRule="auto"/>
        <w:outlineLvl w:val="0"/>
        <w:rPr>
          <w:rFonts w:ascii="宋体"/>
          <w:b/>
          <w:bCs/>
          <w:sz w:val="24"/>
        </w:rPr>
      </w:pPr>
      <w:bookmarkStart w:id="80" w:name="_Toc22454466"/>
      <w:bookmarkStart w:id="81" w:name="_Toc77663026"/>
      <w:r>
        <w:rPr>
          <w:rFonts w:ascii="宋体" w:hAnsi="宋体"/>
          <w:b/>
          <w:bCs/>
          <w:sz w:val="24"/>
        </w:rPr>
        <w:t>（一）保密义务</w:t>
      </w:r>
      <w:bookmarkEnd w:id="80"/>
      <w:bookmarkEnd w:id="81"/>
    </w:p>
    <w:p w14:paraId="013F6FBE">
      <w:pPr>
        <w:pBdr>
          <w:top w:val="none" w:color="000000" w:sz="0" w:space="0"/>
          <w:left w:val="none" w:color="000000" w:sz="0" w:space="0"/>
          <w:bottom w:val="none" w:color="000000" w:sz="0" w:space="0"/>
          <w:right w:val="none" w:color="000000" w:sz="0" w:space="0"/>
        </w:pBdr>
        <w:tabs>
          <w:tab w:val="left" w:pos="1260"/>
        </w:tabs>
        <w:spacing w:line="360" w:lineRule="auto"/>
        <w:ind w:firstLine="480" w:firstLineChars="200"/>
        <w:rPr>
          <w:rFonts w:ascii="宋体" w:hAnsi="宋体"/>
          <w:sz w:val="24"/>
        </w:rPr>
      </w:pPr>
      <w:r>
        <w:rPr>
          <w:rFonts w:ascii="宋体" w:hAnsi="宋体"/>
          <w:sz w:val="24"/>
        </w:rPr>
        <w:t>除按照《基金法》、《基金合同》、《信息披露办法》</w:t>
      </w:r>
      <w:r>
        <w:rPr>
          <w:rFonts w:hint="eastAsia" w:ascii="宋体" w:hAnsi="宋体"/>
          <w:sz w:val="24"/>
        </w:rPr>
        <w:t>、《流动性风险管理规定》</w:t>
      </w:r>
      <w:r>
        <w:rPr>
          <w:rFonts w:ascii="宋体" w:hAnsi="宋体"/>
          <w:sz w:val="24"/>
        </w:rPr>
        <w:t>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依法向监管机构、司法机关及审计、法律等外部专业顾问提供的除外。</w:t>
      </w:r>
    </w:p>
    <w:p w14:paraId="433B2C24">
      <w:pPr>
        <w:tabs>
          <w:tab w:val="left" w:pos="1260"/>
        </w:tabs>
        <w:spacing w:line="360" w:lineRule="auto"/>
        <w:ind w:firstLine="480" w:firstLineChars="200"/>
        <w:rPr>
          <w:rFonts w:ascii="宋体"/>
          <w:sz w:val="24"/>
        </w:rPr>
      </w:pPr>
      <w:r>
        <w:rPr>
          <w:rFonts w:ascii="宋体" w:hAnsi="宋体"/>
          <w:sz w:val="24"/>
        </w:rPr>
        <w:t>如下情况不应视为基金管理人或基金托管人违反保密义务：</w:t>
      </w:r>
    </w:p>
    <w:p w14:paraId="03E966B1">
      <w:pPr>
        <w:tabs>
          <w:tab w:val="left" w:pos="1260"/>
        </w:tabs>
        <w:spacing w:line="360" w:lineRule="auto"/>
        <w:ind w:firstLine="480" w:firstLineChars="200"/>
        <w:rPr>
          <w:rFonts w:ascii="宋体"/>
          <w:sz w:val="24"/>
        </w:rPr>
      </w:pPr>
      <w:r>
        <w:rPr>
          <w:rFonts w:ascii="宋体" w:hAnsi="宋体"/>
          <w:sz w:val="24"/>
        </w:rPr>
        <w:t>1.非因基金管理人和基金托管人的原因导致保密信息被披露、泄露或公开；</w:t>
      </w:r>
    </w:p>
    <w:p w14:paraId="67C75F31">
      <w:pPr>
        <w:tabs>
          <w:tab w:val="left" w:pos="1260"/>
        </w:tabs>
        <w:spacing w:line="360" w:lineRule="auto"/>
        <w:ind w:firstLine="480" w:firstLineChars="200"/>
        <w:rPr>
          <w:rFonts w:ascii="宋体"/>
          <w:sz w:val="24"/>
        </w:rPr>
      </w:pPr>
      <w:r>
        <w:rPr>
          <w:rFonts w:ascii="宋体" w:hAnsi="宋体"/>
          <w:sz w:val="24"/>
        </w:rPr>
        <w:t>2.基金管理人和基金托管人为遵守和服从法院判决、仲裁裁决或中国证监会等监管机构的命令决定所做出的信息披露或公开。</w:t>
      </w:r>
      <w:bookmarkStart w:id="82" w:name="_Toc22454467"/>
      <w:bookmarkStart w:id="83" w:name="_Toc77663027"/>
    </w:p>
    <w:p w14:paraId="33F58F89">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（二）基金管理人和基金托管人在基金信息披露中的职责和信息披露程序</w:t>
      </w:r>
      <w:bookmarkEnd w:id="82"/>
      <w:bookmarkEnd w:id="83"/>
    </w:p>
    <w:p w14:paraId="0AA48843">
      <w:pPr>
        <w:tabs>
          <w:tab w:val="left" w:pos="1260"/>
        </w:tabs>
        <w:spacing w:line="360" w:lineRule="auto"/>
        <w:ind w:firstLine="480" w:firstLineChars="200"/>
        <w:rPr>
          <w:rFonts w:ascii="宋体"/>
          <w:sz w:val="24"/>
        </w:rPr>
      </w:pPr>
      <w:r>
        <w:rPr>
          <w:rFonts w:ascii="宋体" w:hAnsi="宋体"/>
          <w:sz w:val="24"/>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7CDE225B">
      <w:pPr>
        <w:tabs>
          <w:tab w:val="left" w:pos="1260"/>
        </w:tabs>
        <w:spacing w:line="360" w:lineRule="auto"/>
        <w:ind w:firstLine="480" w:firstLineChars="200"/>
        <w:rPr>
          <w:rFonts w:ascii="宋体"/>
          <w:sz w:val="24"/>
        </w:rPr>
      </w:pPr>
      <w:r>
        <w:rPr>
          <w:rFonts w:ascii="宋体" w:hAnsi="宋体"/>
          <w:sz w:val="24"/>
        </w:rPr>
        <w:t>本基金信息披露的文件，包括基金招募说明书及其提示性公告、基金合同及其提示性公告、基金托管协议、基金产品资料概要、基金份额发售公告、基金合同生效公告、基金份额上市交易公告书、基金份额折算日和折算结果公告、基金净值信息、基金份额申购、赎回清单公告、基金定期报告（包括基金年度报告、基金中期报告和基金季度报告）、临时报告、澄清公告、基金份额持有人大会决议、清算报告及其提示性公告及中国证监会规定的其他必要的公告文件，由基金管理人拟定并公布。</w:t>
      </w:r>
    </w:p>
    <w:p w14:paraId="31D25788">
      <w:pPr>
        <w:tabs>
          <w:tab w:val="left" w:pos="1260"/>
        </w:tabs>
        <w:spacing w:line="360" w:lineRule="auto"/>
        <w:ind w:firstLine="480" w:firstLineChars="200"/>
        <w:rPr>
          <w:rFonts w:ascii="宋体"/>
          <w:sz w:val="24"/>
        </w:rPr>
      </w:pPr>
      <w:r>
        <w:rPr>
          <w:rFonts w:ascii="宋体" w:hAnsi="宋体"/>
          <w:sz w:val="24"/>
        </w:rPr>
        <w:t>基金托管人应按本协议第八条第（六）款的规定对相关报告进行复核。基金年</w:t>
      </w:r>
      <w:r>
        <w:rPr>
          <w:rFonts w:hint="eastAsia" w:ascii="宋体" w:hAnsi="宋体"/>
          <w:sz w:val="24"/>
        </w:rPr>
        <w:t>度</w:t>
      </w:r>
      <w:r>
        <w:rPr>
          <w:rFonts w:ascii="宋体" w:hAnsi="宋体"/>
          <w:sz w:val="24"/>
        </w:rPr>
        <w:t>报</w:t>
      </w:r>
      <w:r>
        <w:rPr>
          <w:rFonts w:hint="eastAsia" w:ascii="宋体" w:hAnsi="宋体"/>
          <w:sz w:val="24"/>
        </w:rPr>
        <w:t>告中的财务会计报告</w:t>
      </w:r>
      <w:r>
        <w:rPr>
          <w:rFonts w:ascii="宋体" w:hAnsi="宋体"/>
          <w:sz w:val="24"/>
        </w:rPr>
        <w:t>应当经过符合《中华人民共和国证券法》规定的会计师事务所审计后方可披露。</w:t>
      </w:r>
    </w:p>
    <w:p w14:paraId="3DC5B1E9">
      <w:pPr>
        <w:tabs>
          <w:tab w:val="left" w:pos="1260"/>
        </w:tabs>
        <w:spacing w:line="360" w:lineRule="auto"/>
        <w:ind w:firstLine="480" w:firstLineChars="200"/>
        <w:rPr>
          <w:rFonts w:ascii="宋体"/>
          <w:sz w:val="24"/>
        </w:rPr>
      </w:pPr>
      <w:r>
        <w:rPr>
          <w:rFonts w:ascii="宋体" w:hAnsi="宋体"/>
          <w:sz w:val="24"/>
        </w:rPr>
        <w:t>本基金的信息披露公告，必须在中国证监会规定媒介发布。</w:t>
      </w:r>
      <w:bookmarkStart w:id="84" w:name="_Toc466788862"/>
    </w:p>
    <w:p w14:paraId="569A4066">
      <w:pPr>
        <w:tabs>
          <w:tab w:val="left" w:pos="3780"/>
        </w:tabs>
        <w:autoSpaceDE w:val="0"/>
        <w:autoSpaceDN w:val="0"/>
        <w:spacing w:before="156" w:after="156" w:line="360" w:lineRule="auto"/>
        <w:outlineLvl w:val="0"/>
        <w:rPr>
          <w:rFonts w:ascii="宋体"/>
          <w:b/>
          <w:bCs/>
          <w:sz w:val="24"/>
        </w:rPr>
      </w:pPr>
      <w:r>
        <w:rPr>
          <w:rFonts w:ascii="宋体" w:hAnsi="宋体"/>
          <w:b/>
          <w:bCs/>
          <w:sz w:val="24"/>
        </w:rPr>
        <w:t>（三）暂停或延迟信息披露的情形</w:t>
      </w:r>
    </w:p>
    <w:p w14:paraId="4409542B">
      <w:pPr>
        <w:pStyle w:val="216"/>
        <w:spacing w:line="360" w:lineRule="auto"/>
        <w:ind w:firstLine="480"/>
        <w:rPr>
          <w:rStyle w:val="219"/>
          <w:rFonts w:ascii="宋体" w:hAnsi="宋体" w:cs="宋体"/>
          <w:sz w:val="24"/>
          <w:szCs w:val="24"/>
        </w:rPr>
      </w:pPr>
      <w:r>
        <w:rPr>
          <w:rStyle w:val="219"/>
          <w:rFonts w:ascii="宋体" w:hAnsi="宋体" w:cs="宋体"/>
          <w:sz w:val="24"/>
          <w:szCs w:val="24"/>
        </w:rPr>
        <w:t>1、基金投资所涉及的证券/期货交易所遇法定节假日或因其他原因暂停营业时；</w:t>
      </w:r>
    </w:p>
    <w:p w14:paraId="2908B65F">
      <w:pPr>
        <w:pStyle w:val="216"/>
        <w:spacing w:line="360" w:lineRule="auto"/>
        <w:ind w:firstLine="480"/>
        <w:rPr>
          <w:rFonts w:ascii="宋体" w:hAnsi="宋体" w:cs="宋体"/>
          <w:sz w:val="24"/>
          <w:szCs w:val="24"/>
        </w:rPr>
      </w:pPr>
      <w:r>
        <w:rPr>
          <w:rStyle w:val="219"/>
          <w:rFonts w:ascii="宋体" w:hAnsi="宋体" w:cs="宋体"/>
          <w:sz w:val="24"/>
          <w:szCs w:val="24"/>
        </w:rPr>
        <w:t>2、</w:t>
      </w:r>
      <w:r>
        <w:rPr>
          <w:rFonts w:ascii="宋体" w:hAnsi="宋体" w:cs="宋体"/>
          <w:sz w:val="24"/>
          <w:szCs w:val="24"/>
        </w:rPr>
        <w:t>因不可抗力或其他情形致使基金管理人、基金托管人无法准确评估基金资产价值时；</w:t>
      </w:r>
    </w:p>
    <w:p w14:paraId="19886FCB">
      <w:pPr>
        <w:pStyle w:val="216"/>
        <w:spacing w:line="360" w:lineRule="auto"/>
        <w:ind w:firstLine="480"/>
        <w:rPr>
          <w:rFonts w:ascii="宋体" w:hAnsi="宋体" w:cs="宋体"/>
          <w:sz w:val="24"/>
          <w:szCs w:val="24"/>
        </w:rPr>
      </w:pPr>
      <w:r>
        <w:rPr>
          <w:rStyle w:val="219"/>
          <w:rFonts w:ascii="宋体" w:hAnsi="宋体" w:cs="宋体"/>
          <w:sz w:val="24"/>
          <w:szCs w:val="24"/>
        </w:rPr>
        <w:t>3、</w:t>
      </w:r>
      <w:r>
        <w:rPr>
          <w:rFonts w:ascii="宋体" w:hAnsi="宋体" w:cs="宋体"/>
          <w:sz w:val="24"/>
          <w:szCs w:val="24"/>
        </w:rPr>
        <w:t>当前一估值日基金资产净值50%以上的资产出现无可参考的活跃市场价格且采用估值技术仍导致公允价值存在重大不确定性，并经与基金托管人协商确认后，基金管理人应当暂停估值时；</w:t>
      </w:r>
    </w:p>
    <w:p w14:paraId="3781BC12">
      <w:pPr>
        <w:pStyle w:val="216"/>
        <w:spacing w:line="360" w:lineRule="auto"/>
        <w:ind w:firstLine="480"/>
        <w:rPr>
          <w:rFonts w:ascii="宋体" w:hAnsi="宋体" w:cs="宋体"/>
          <w:sz w:val="24"/>
          <w:szCs w:val="24"/>
        </w:rPr>
      </w:pPr>
      <w:r>
        <w:rPr>
          <w:rStyle w:val="219"/>
          <w:rFonts w:ascii="宋体" w:hAnsi="宋体" w:cs="宋体"/>
          <w:sz w:val="24"/>
          <w:szCs w:val="24"/>
        </w:rPr>
        <w:t>4、</w:t>
      </w:r>
      <w:r>
        <w:rPr>
          <w:rFonts w:ascii="宋体" w:hAnsi="宋体" w:cs="宋体"/>
          <w:sz w:val="24"/>
          <w:szCs w:val="24"/>
        </w:rPr>
        <w:t>法律法规规定、中国证监会或《基金合同》认定的其他情形。</w:t>
      </w:r>
    </w:p>
    <w:p w14:paraId="6F86DE47">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（四）基金托管人报告</w:t>
      </w:r>
    </w:p>
    <w:p w14:paraId="43B8D8E9">
      <w:pPr>
        <w:tabs>
          <w:tab w:val="left" w:pos="1260"/>
        </w:tabs>
        <w:spacing w:line="360" w:lineRule="auto"/>
        <w:ind w:firstLine="480" w:firstLineChars="200"/>
        <w:rPr>
          <w:rFonts w:ascii="宋体"/>
          <w:sz w:val="24"/>
        </w:rPr>
      </w:pPr>
      <w:r>
        <w:rPr>
          <w:rFonts w:ascii="宋体" w:hAnsi="宋体"/>
          <w:sz w:val="24"/>
        </w:rPr>
        <w:t>基金托管人应按《基金法》和中国证监会的有关规定出具基金托管情况报告。基金托管人报告说明该半年度/年度基金托管人和基金管理人履行《基金合同》的情况，是基金中期报告和年度报告的组成部分。</w:t>
      </w:r>
      <w:bookmarkStart w:id="85" w:name="_Toc125892447"/>
    </w:p>
    <w:p w14:paraId="690FE2E6">
      <w:pPr>
        <w:pStyle w:val="2"/>
      </w:pPr>
      <w:bookmarkStart w:id="86" w:name="_Toc65162010"/>
      <w:r>
        <w:t>十一、基金费用</w:t>
      </w:r>
      <w:bookmarkEnd w:id="85"/>
      <w:bookmarkEnd w:id="86"/>
    </w:p>
    <w:p w14:paraId="0487A99F">
      <w:pPr>
        <w:tabs>
          <w:tab w:val="left" w:pos="1260"/>
        </w:tabs>
        <w:spacing w:line="360" w:lineRule="auto"/>
        <w:ind w:firstLine="480" w:firstLineChars="200"/>
        <w:rPr>
          <w:rFonts w:ascii="宋体"/>
          <w:b/>
          <w:sz w:val="24"/>
        </w:rPr>
      </w:pPr>
      <w:r>
        <w:rPr>
          <w:rFonts w:ascii="宋体" w:hAnsi="宋体"/>
          <w:b/>
          <w:sz w:val="24"/>
        </w:rPr>
        <w:t>（一）基金管理人的管理费</w:t>
      </w:r>
    </w:p>
    <w:p w14:paraId="00AB9678">
      <w:pPr>
        <w:tabs>
          <w:tab w:val="left" w:pos="1260"/>
        </w:tabs>
        <w:spacing w:line="360" w:lineRule="auto"/>
        <w:ind w:firstLine="480" w:firstLineChars="200"/>
        <w:rPr>
          <w:rFonts w:ascii="宋体" w:hAnsi="宋体"/>
          <w:sz w:val="24"/>
        </w:rPr>
      </w:pPr>
      <w:r>
        <w:rPr>
          <w:rFonts w:ascii="宋体" w:hAnsi="宋体"/>
          <w:sz w:val="24"/>
        </w:rPr>
        <w:t>本基金的管理费率为年费率0.</w:t>
      </w:r>
      <w:r>
        <w:rPr>
          <w:rFonts w:hint="eastAsia" w:ascii="宋体" w:hAnsi="宋体"/>
          <w:sz w:val="24"/>
        </w:rPr>
        <w:t>50</w:t>
      </w:r>
      <w:r>
        <w:rPr>
          <w:rFonts w:ascii="宋体" w:hAnsi="宋体"/>
          <w:sz w:val="24"/>
        </w:rPr>
        <w:t>%。</w:t>
      </w:r>
    </w:p>
    <w:p w14:paraId="7014E968">
      <w:pPr>
        <w:tabs>
          <w:tab w:val="left" w:pos="1260"/>
        </w:tabs>
        <w:spacing w:line="360" w:lineRule="auto"/>
        <w:ind w:firstLine="480" w:firstLineChars="200"/>
        <w:rPr>
          <w:rFonts w:ascii="宋体"/>
          <w:sz w:val="24"/>
        </w:rPr>
      </w:pPr>
      <w:r>
        <w:rPr>
          <w:rFonts w:ascii="宋体" w:hAnsi="宋体"/>
          <w:sz w:val="24"/>
        </w:rPr>
        <w:t>基金管理费按前一日基金资产净值的年费率计提。计算方法如下：</w:t>
      </w:r>
    </w:p>
    <w:p w14:paraId="3FEEA380">
      <w:pPr>
        <w:spacing w:line="360" w:lineRule="auto"/>
        <w:ind w:left="780" w:firstLine="480" w:firstLineChars="200"/>
        <w:rPr>
          <w:sz w:val="24"/>
        </w:rPr>
      </w:pPr>
      <w:r>
        <w:rPr>
          <w:sz w:val="24"/>
        </w:rPr>
        <w:t>H＝E×年管理费率÷当年天数</w:t>
      </w:r>
    </w:p>
    <w:p w14:paraId="1E29F813">
      <w:pPr>
        <w:spacing w:line="360" w:lineRule="auto"/>
        <w:ind w:left="780" w:firstLine="480" w:firstLineChars="200"/>
        <w:rPr>
          <w:sz w:val="24"/>
        </w:rPr>
      </w:pPr>
      <w:r>
        <w:rPr>
          <w:sz w:val="24"/>
        </w:rPr>
        <w:t>H为每日应计提的基金管理费</w:t>
      </w:r>
    </w:p>
    <w:p w14:paraId="6320D16C">
      <w:pPr>
        <w:spacing w:line="360" w:lineRule="auto"/>
        <w:ind w:left="780" w:firstLine="480" w:firstLineChars="200"/>
        <w:rPr>
          <w:sz w:val="24"/>
        </w:rPr>
      </w:pPr>
      <w:r>
        <w:rPr>
          <w:sz w:val="24"/>
        </w:rPr>
        <w:t>E为前一日基金资产净值</w:t>
      </w:r>
    </w:p>
    <w:p w14:paraId="4B4D2B0C">
      <w:pPr>
        <w:pStyle w:val="216"/>
        <w:pBdr>
          <w:top w:val="none" w:color="auto" w:sz="0" w:space="0"/>
          <w:left w:val="none" w:color="auto" w:sz="0" w:space="0"/>
          <w:bottom w:val="none" w:color="auto" w:sz="0" w:space="0"/>
          <w:right w:val="none" w:color="auto" w:sz="0" w:space="0"/>
        </w:pBdr>
        <w:spacing w:before="0" w:after="0" w:line="360" w:lineRule="auto"/>
        <w:ind w:left="0" w:right="0" w:firstLine="480"/>
        <w:rPr>
          <w:rStyle w:val="219"/>
          <w:rFonts w:hint="eastAsia" w:ascii="宋体" w:hAnsi="宋体" w:eastAsia="宋体" w:cs="宋体"/>
          <w:kern w:val="0"/>
          <w:sz w:val="24"/>
          <w:szCs w:val="24"/>
        </w:rPr>
      </w:pPr>
      <w:bookmarkStart w:id="87" w:name="_Hlk181868896"/>
      <w:r>
        <w:rPr>
          <w:rStyle w:val="219"/>
          <w:rFonts w:hint="eastAsia" w:ascii="宋体" w:hAnsi="宋体" w:eastAsia="宋体" w:cs="宋体"/>
          <w:kern w:val="0"/>
          <w:sz w:val="24"/>
          <w:szCs w:val="24"/>
        </w:rPr>
        <w:t>基金管理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bookmarkEnd w:id="87"/>
    <w:p w14:paraId="0F7B402F">
      <w:pPr>
        <w:tabs>
          <w:tab w:val="left" w:pos="1260"/>
        </w:tabs>
        <w:spacing w:line="360" w:lineRule="auto"/>
        <w:ind w:firstLine="480" w:firstLineChars="200"/>
        <w:rPr>
          <w:rFonts w:ascii="宋体"/>
          <w:b/>
          <w:sz w:val="24"/>
        </w:rPr>
      </w:pPr>
      <w:r>
        <w:rPr>
          <w:rFonts w:ascii="宋体" w:hAnsi="宋体"/>
          <w:b/>
          <w:sz w:val="24"/>
        </w:rPr>
        <w:t>（二）基金托管人的托管费</w:t>
      </w:r>
    </w:p>
    <w:p w14:paraId="4B563B97">
      <w:pPr>
        <w:tabs>
          <w:tab w:val="left" w:pos="1260"/>
        </w:tabs>
        <w:spacing w:line="360" w:lineRule="auto"/>
        <w:ind w:firstLine="480" w:firstLineChars="200"/>
        <w:rPr>
          <w:rFonts w:ascii="宋体"/>
          <w:sz w:val="24"/>
        </w:rPr>
      </w:pPr>
      <w:r>
        <w:rPr>
          <w:rFonts w:ascii="宋体" w:hAnsi="宋体"/>
          <w:sz w:val="24"/>
        </w:rPr>
        <w:t>本基金的托管费率为年费率0.</w:t>
      </w:r>
      <w:r>
        <w:rPr>
          <w:rFonts w:hint="eastAsia" w:ascii="宋体" w:hAnsi="宋体"/>
          <w:sz w:val="24"/>
        </w:rPr>
        <w:t>1</w:t>
      </w:r>
      <w:r>
        <w:rPr>
          <w:rFonts w:ascii="宋体" w:hAnsi="宋体"/>
          <w:sz w:val="24"/>
        </w:rPr>
        <w:t>0%。</w:t>
      </w:r>
    </w:p>
    <w:p w14:paraId="1271252F">
      <w:pPr>
        <w:tabs>
          <w:tab w:val="left" w:pos="1260"/>
        </w:tabs>
        <w:spacing w:line="360" w:lineRule="auto"/>
        <w:ind w:firstLine="480" w:firstLineChars="200"/>
        <w:rPr>
          <w:rFonts w:ascii="宋体"/>
          <w:sz w:val="24"/>
        </w:rPr>
      </w:pPr>
      <w:r>
        <w:rPr>
          <w:rFonts w:ascii="宋体" w:hAnsi="宋体"/>
          <w:sz w:val="24"/>
        </w:rPr>
        <w:t>基金托管费按前一日基金资产净值的年费率计提。计算方法如下：</w:t>
      </w:r>
    </w:p>
    <w:p w14:paraId="7D222344">
      <w:pPr>
        <w:spacing w:line="360" w:lineRule="auto"/>
        <w:ind w:left="780" w:firstLine="480" w:firstLineChars="200"/>
        <w:rPr>
          <w:sz w:val="24"/>
        </w:rPr>
      </w:pPr>
      <w:r>
        <w:rPr>
          <w:sz w:val="24"/>
        </w:rPr>
        <w:t>H=E×年托管费率÷当年天数</w:t>
      </w:r>
    </w:p>
    <w:p w14:paraId="73210155">
      <w:pPr>
        <w:spacing w:line="360" w:lineRule="auto"/>
        <w:ind w:left="780" w:firstLine="480" w:firstLineChars="200"/>
        <w:rPr>
          <w:sz w:val="24"/>
        </w:rPr>
      </w:pPr>
      <w:r>
        <w:rPr>
          <w:sz w:val="24"/>
        </w:rPr>
        <w:t>H为每日应计提的基金托管费</w:t>
      </w:r>
    </w:p>
    <w:p w14:paraId="130C474A">
      <w:pPr>
        <w:spacing w:line="360" w:lineRule="auto"/>
        <w:ind w:left="780" w:firstLine="480" w:firstLineChars="200"/>
        <w:rPr>
          <w:sz w:val="24"/>
        </w:rPr>
      </w:pPr>
      <w:r>
        <w:rPr>
          <w:sz w:val="24"/>
        </w:rPr>
        <w:t>E为前一日基金资产净值</w:t>
      </w:r>
    </w:p>
    <w:p w14:paraId="7D5AD93D">
      <w:pPr>
        <w:pStyle w:val="216"/>
        <w:pBdr>
          <w:top w:val="none" w:color="auto" w:sz="0" w:space="0"/>
          <w:left w:val="none" w:color="auto" w:sz="0" w:space="0"/>
          <w:bottom w:val="none" w:color="auto" w:sz="0" w:space="0"/>
          <w:right w:val="none" w:color="auto" w:sz="0" w:space="0"/>
        </w:pBdr>
        <w:spacing w:before="0" w:after="0" w:line="360" w:lineRule="auto"/>
        <w:ind w:left="0" w:right="0" w:firstLine="480"/>
        <w:rPr>
          <w:rFonts w:ascii="宋体" w:hAnsi="宋体" w:eastAsia="宋体" w:cs="宋体"/>
          <w:kern w:val="0"/>
          <w:sz w:val="24"/>
          <w:szCs w:val="24"/>
        </w:rPr>
      </w:pPr>
      <w:bookmarkStart w:id="88" w:name="_Hlk181868915"/>
      <w:r>
        <w:rPr>
          <w:rFonts w:hint="eastAsia" w:ascii="宋体" w:hAnsi="宋体" w:eastAsia="宋体" w:cs="宋体"/>
          <w:kern w:val="0"/>
          <w:sz w:val="24"/>
          <w:szCs w:val="24"/>
        </w:rPr>
        <w:t>基金托管费每日计提，逐日累计至每月月末，按月支付，经基金管理人与基金托管人双方核对无误后，自动在次月初5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费用自动扣划后，基金管理人应进行核对，如发现数据不符，应及时联系基金托管人协商解决。</w:t>
      </w:r>
    </w:p>
    <w:bookmarkEnd w:id="88"/>
    <w:p w14:paraId="7A1B461A">
      <w:pPr>
        <w:autoSpaceDE w:val="0"/>
        <w:autoSpaceDN w:val="0"/>
        <w:spacing w:line="360" w:lineRule="auto"/>
        <w:ind w:firstLine="480" w:firstLineChars="200"/>
        <w:rPr>
          <w:rFonts w:ascii="宋体" w:hAnsi="宋体"/>
          <w:sz w:val="24"/>
        </w:rPr>
      </w:pPr>
      <w:r>
        <w:rPr>
          <w:rFonts w:ascii="宋体" w:hAnsi="宋体"/>
          <w:b/>
          <w:sz w:val="24"/>
        </w:rPr>
        <w:t>（三）</w:t>
      </w:r>
      <w:r>
        <w:rPr>
          <w:rFonts w:ascii="宋体" w:hAnsi="宋体"/>
          <w:sz w:val="24"/>
        </w:rPr>
        <w:t>从基金资产中列支基金管理人的管理费、基金托管人的托管费之外的其他基金费用，应当依据有关法律法规、《基金合同》的规定。</w:t>
      </w:r>
    </w:p>
    <w:p w14:paraId="7BDC4A88">
      <w:pPr>
        <w:autoSpaceDE w:val="0"/>
        <w:autoSpaceDN w:val="0"/>
        <w:spacing w:line="360" w:lineRule="auto"/>
        <w:ind w:firstLine="480" w:firstLineChars="200"/>
        <w:rPr>
          <w:rFonts w:ascii="宋体" w:hAnsi="宋体"/>
          <w:sz w:val="24"/>
        </w:rPr>
      </w:pPr>
      <w:r>
        <w:rPr>
          <w:rFonts w:ascii="宋体" w:hAnsi="宋体"/>
          <w:sz w:val="24"/>
        </w:rPr>
        <w:t>下列费用不列入基金费用：</w:t>
      </w:r>
    </w:p>
    <w:p w14:paraId="402F2631">
      <w:pPr>
        <w:autoSpaceDE w:val="0"/>
        <w:autoSpaceDN w:val="0"/>
        <w:spacing w:line="360" w:lineRule="auto"/>
        <w:ind w:firstLine="480" w:firstLineChars="200"/>
        <w:rPr>
          <w:rFonts w:ascii="宋体" w:hAnsi="宋体"/>
          <w:sz w:val="24"/>
        </w:rPr>
      </w:pPr>
      <w:r>
        <w:rPr>
          <w:rFonts w:ascii="宋体" w:hAnsi="宋体"/>
          <w:sz w:val="24"/>
        </w:rPr>
        <w:t>基金管理人和基金托管人因未履行或未完全履行义务导致的费用支出或基金财产的损失；基金管理人和基金托管人处理与基金运作无关的事项发生的费用；《基金合同》生效前的相关费用；基金的指数许可使用费（该费用由基金管理人承担）；其他根据相关法律法规及中国证监会的有关规定不得列入基金费用的项目。</w:t>
      </w:r>
    </w:p>
    <w:p w14:paraId="527F1698">
      <w:pPr>
        <w:autoSpaceDE w:val="0"/>
        <w:autoSpaceDN w:val="0"/>
        <w:spacing w:line="360" w:lineRule="auto"/>
        <w:ind w:firstLine="480" w:firstLineChars="200"/>
        <w:rPr>
          <w:rFonts w:ascii="宋体" w:hAnsi="宋体"/>
          <w:sz w:val="24"/>
        </w:rPr>
      </w:pPr>
      <w:r>
        <w:rPr>
          <w:rFonts w:ascii="宋体" w:hAnsi="宋体"/>
          <w:sz w:val="24"/>
        </w:rPr>
        <w:t>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06B4D810">
      <w:pPr>
        <w:pStyle w:val="2"/>
      </w:pPr>
      <w:bookmarkStart w:id="89" w:name="_Toc65162011"/>
      <w:bookmarkStart w:id="90" w:name="_Toc125892448"/>
      <w:r>
        <w:t>十二、基金份额持有人名册的保管</w:t>
      </w:r>
      <w:bookmarkEnd w:id="89"/>
      <w:bookmarkEnd w:id="90"/>
    </w:p>
    <w:p w14:paraId="0276C254">
      <w:pPr>
        <w:tabs>
          <w:tab w:val="left" w:pos="1260"/>
        </w:tabs>
        <w:spacing w:line="360" w:lineRule="auto"/>
        <w:ind w:firstLine="480" w:firstLineChars="200"/>
        <w:rPr>
          <w:rFonts w:ascii="宋体" w:hAnsi="宋体"/>
          <w:sz w:val="24"/>
        </w:rPr>
      </w:pPr>
      <w:bookmarkStart w:id="91" w:name="_Toc523830003"/>
      <w:bookmarkStart w:id="92" w:name="_Toc22454468"/>
      <w:bookmarkStart w:id="93" w:name="_Toc125892449"/>
      <w:r>
        <w:rPr>
          <w:rFonts w:ascii="宋体" w:hAnsi="宋体"/>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如不能妥善保管，则按相关法规承担责任。</w:t>
      </w:r>
    </w:p>
    <w:p w14:paraId="15AEE422">
      <w:pPr>
        <w:tabs>
          <w:tab w:val="left" w:pos="1260"/>
        </w:tabs>
        <w:spacing w:line="360" w:lineRule="auto"/>
        <w:ind w:firstLine="480" w:firstLineChars="200"/>
        <w:rPr>
          <w:rFonts w:ascii="宋体"/>
          <w:sz w:val="24"/>
        </w:rPr>
      </w:pPr>
      <w:r>
        <w:rPr>
          <w:rFonts w:ascii="宋体" w:hAnsi="宋体"/>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3D5E8C97">
      <w:pPr>
        <w:pStyle w:val="2"/>
      </w:pPr>
      <w:bookmarkStart w:id="94" w:name="_Toc65162012"/>
      <w:r>
        <w:t>十三、基金有关文件档案的保存</w:t>
      </w:r>
      <w:bookmarkEnd w:id="84"/>
      <w:bookmarkEnd w:id="91"/>
      <w:bookmarkEnd w:id="92"/>
      <w:bookmarkEnd w:id="93"/>
      <w:bookmarkEnd w:id="94"/>
    </w:p>
    <w:p w14:paraId="0CF0D794">
      <w:pPr>
        <w:tabs>
          <w:tab w:val="left" w:pos="1260"/>
        </w:tabs>
        <w:spacing w:line="360" w:lineRule="auto"/>
        <w:ind w:firstLine="480" w:firstLineChars="200"/>
        <w:rPr>
          <w:rFonts w:ascii="宋体"/>
          <w:sz w:val="24"/>
        </w:rPr>
      </w:pPr>
      <w:r>
        <w:rPr>
          <w:rFonts w:ascii="宋体" w:hAnsi="宋体"/>
          <w:sz w:val="24"/>
        </w:rPr>
        <w:t>基金管理人应保存基金财产管理业务活动的记录、账册、报表和其他相关资料，基金托管人应保存基金托管业务活动的记录、账册、报表和其他相关资料。</w:t>
      </w:r>
    </w:p>
    <w:p w14:paraId="29503C6C">
      <w:pPr>
        <w:tabs>
          <w:tab w:val="left" w:pos="1260"/>
        </w:tabs>
        <w:spacing w:line="360" w:lineRule="auto"/>
        <w:ind w:firstLine="480" w:firstLineChars="200"/>
        <w:rPr>
          <w:rFonts w:ascii="宋体"/>
          <w:sz w:val="24"/>
        </w:rPr>
      </w:pPr>
      <w:r>
        <w:rPr>
          <w:rFonts w:ascii="宋体" w:hAnsi="宋体"/>
          <w:sz w:val="24"/>
        </w:rPr>
        <w:t>基金管理人和基金托管人应按各自职责完整保存原始凭证、记账凭证、基金账册、会计报告、交易记录和重要合同等，保存期限不低于法律法规规定的最低期限。</w:t>
      </w:r>
    </w:p>
    <w:p w14:paraId="5A4817AD">
      <w:pPr>
        <w:tabs>
          <w:tab w:val="left" w:pos="1260"/>
        </w:tabs>
        <w:spacing w:line="360" w:lineRule="auto"/>
        <w:ind w:firstLine="480" w:firstLineChars="200"/>
        <w:rPr>
          <w:rFonts w:ascii="宋体"/>
          <w:sz w:val="24"/>
        </w:rPr>
      </w:pPr>
      <w:r>
        <w:rPr>
          <w:rFonts w:ascii="宋体" w:hAnsi="宋体"/>
          <w:sz w:val="24"/>
        </w:rPr>
        <w:t>基金管理人签署重大合同文本后，应及时将合同文本正本送达基金托管人处。基金管理人应及时将与本基金账务处理、资金划拨等有关的合同、协议传真给基金托管人。</w:t>
      </w:r>
    </w:p>
    <w:p w14:paraId="0EC3437E">
      <w:pPr>
        <w:tabs>
          <w:tab w:val="left" w:pos="1260"/>
        </w:tabs>
        <w:spacing w:line="360" w:lineRule="auto"/>
        <w:ind w:firstLine="480" w:firstLineChars="200"/>
        <w:rPr>
          <w:rFonts w:ascii="宋体"/>
          <w:sz w:val="24"/>
        </w:rPr>
      </w:pPr>
      <w:r>
        <w:rPr>
          <w:rFonts w:ascii="宋体" w:hAnsi="宋体"/>
          <w:sz w:val="24"/>
        </w:rPr>
        <w:t>基金管理人或基金托管人变更后，未变更的一方有义务协助接任人接收基金的有关文件。</w:t>
      </w:r>
      <w:bookmarkStart w:id="95" w:name="_Toc125892450"/>
      <w:bookmarkStart w:id="96" w:name="_Toc523830005"/>
      <w:bookmarkStart w:id="97" w:name="_Toc466788864"/>
      <w:bookmarkStart w:id="98" w:name="_Toc22454470"/>
    </w:p>
    <w:p w14:paraId="797C3074">
      <w:pPr>
        <w:pStyle w:val="2"/>
      </w:pPr>
      <w:bookmarkStart w:id="99" w:name="_Toc65162013"/>
      <w:r>
        <w:t>十四、基金管理人和基金托管人的更换</w:t>
      </w:r>
      <w:bookmarkEnd w:id="95"/>
      <w:bookmarkEnd w:id="96"/>
      <w:bookmarkEnd w:id="97"/>
      <w:bookmarkEnd w:id="98"/>
      <w:bookmarkEnd w:id="99"/>
    </w:p>
    <w:p w14:paraId="045E914C">
      <w:pPr>
        <w:tabs>
          <w:tab w:val="left" w:pos="3780"/>
        </w:tabs>
        <w:autoSpaceDE w:val="0"/>
        <w:autoSpaceDN w:val="0"/>
        <w:spacing w:before="156" w:after="156" w:line="360" w:lineRule="auto"/>
        <w:outlineLvl w:val="0"/>
        <w:rPr>
          <w:rFonts w:ascii="宋体"/>
          <w:b/>
          <w:bCs/>
          <w:sz w:val="24"/>
        </w:rPr>
      </w:pPr>
      <w:bookmarkStart w:id="100" w:name="_Toc22454471"/>
      <w:bookmarkStart w:id="101" w:name="_Toc77663031"/>
      <w:r>
        <w:rPr>
          <w:rFonts w:ascii="宋体" w:hAnsi="宋体"/>
          <w:b/>
          <w:bCs/>
          <w:sz w:val="24"/>
        </w:rPr>
        <w:t>（一）基金管理人的更换</w:t>
      </w:r>
    </w:p>
    <w:p w14:paraId="7F1928E8">
      <w:pPr>
        <w:tabs>
          <w:tab w:val="left" w:pos="1260"/>
        </w:tabs>
        <w:spacing w:line="360" w:lineRule="auto"/>
        <w:ind w:firstLine="480" w:firstLineChars="200"/>
        <w:rPr>
          <w:rFonts w:ascii="宋体"/>
          <w:sz w:val="24"/>
        </w:rPr>
      </w:pPr>
      <w:r>
        <w:rPr>
          <w:rFonts w:ascii="宋体" w:hAnsi="宋体"/>
          <w:sz w:val="24"/>
        </w:rPr>
        <w:t>1.基金管理人职责终止的条件</w:t>
      </w:r>
    </w:p>
    <w:p w14:paraId="7C97968D">
      <w:pPr>
        <w:spacing w:line="360" w:lineRule="auto"/>
        <w:ind w:firstLine="480" w:firstLineChars="200"/>
        <w:rPr>
          <w:rFonts w:ascii="宋体"/>
          <w:sz w:val="24"/>
        </w:rPr>
      </w:pPr>
      <w:r>
        <w:rPr>
          <w:rFonts w:ascii="宋体" w:hAnsi="宋体"/>
          <w:sz w:val="24"/>
        </w:rPr>
        <w:t>有下列情形之一的，基金管理人职责终止：</w:t>
      </w:r>
    </w:p>
    <w:p w14:paraId="4AB24505">
      <w:pPr>
        <w:pStyle w:val="210"/>
        <w:ind w:firstLine="480"/>
        <w:rPr>
          <w:szCs w:val="24"/>
        </w:rPr>
      </w:pPr>
      <w:r>
        <w:rPr>
          <w:szCs w:val="24"/>
        </w:rPr>
        <w:t>（1）基金管理人被依法取消基金管理资格；</w:t>
      </w:r>
    </w:p>
    <w:p w14:paraId="5DB39916">
      <w:pPr>
        <w:pStyle w:val="210"/>
        <w:ind w:firstLine="480"/>
        <w:rPr>
          <w:szCs w:val="24"/>
        </w:rPr>
      </w:pPr>
      <w:r>
        <w:rPr>
          <w:szCs w:val="24"/>
        </w:rPr>
        <w:t>（2）基金管理人依法解散、依法被撤销或被依法宣告破产；</w:t>
      </w:r>
    </w:p>
    <w:p w14:paraId="348A5CF2">
      <w:pPr>
        <w:pStyle w:val="210"/>
        <w:ind w:firstLine="480"/>
        <w:rPr>
          <w:szCs w:val="24"/>
        </w:rPr>
      </w:pPr>
      <w:r>
        <w:rPr>
          <w:szCs w:val="24"/>
        </w:rPr>
        <w:t>（3）基金管理人被基金份额持有人大会解任；</w:t>
      </w:r>
    </w:p>
    <w:p w14:paraId="61069B42">
      <w:pPr>
        <w:pStyle w:val="210"/>
        <w:ind w:firstLine="480"/>
        <w:rPr>
          <w:szCs w:val="24"/>
        </w:rPr>
      </w:pPr>
      <w:r>
        <w:rPr>
          <w:szCs w:val="24"/>
        </w:rPr>
        <w:t>（4）法律法规及中国证监会规定的和《基金合同》约定的其他情形。</w:t>
      </w:r>
    </w:p>
    <w:p w14:paraId="75A1C860">
      <w:pPr>
        <w:spacing w:line="360" w:lineRule="auto"/>
        <w:ind w:firstLine="480" w:firstLineChars="200"/>
        <w:rPr>
          <w:rFonts w:ascii="宋体"/>
          <w:sz w:val="24"/>
        </w:rPr>
      </w:pPr>
      <w:r>
        <w:rPr>
          <w:rFonts w:ascii="宋体" w:hAnsi="宋体"/>
          <w:sz w:val="24"/>
        </w:rPr>
        <w:t>2.基金管理人的更换程序</w:t>
      </w:r>
    </w:p>
    <w:p w14:paraId="1DCA0855">
      <w:pPr>
        <w:spacing w:line="360" w:lineRule="auto"/>
        <w:ind w:firstLine="480" w:firstLineChars="200"/>
        <w:rPr>
          <w:rFonts w:ascii="宋体" w:hAnsi="宋体"/>
          <w:bCs/>
          <w:sz w:val="24"/>
        </w:rPr>
      </w:pPr>
      <w:r>
        <w:rPr>
          <w:rFonts w:ascii="宋体" w:hAnsi="宋体"/>
          <w:bCs/>
          <w:sz w:val="24"/>
        </w:rPr>
        <w:t>（1）提名：新任基金管理人由基金托管人或由单独或合计持有10%以上（含10%）基金份额的基金份额持有人提名；</w:t>
      </w:r>
    </w:p>
    <w:p w14:paraId="055819E8">
      <w:pPr>
        <w:spacing w:line="360" w:lineRule="auto"/>
        <w:ind w:firstLine="480" w:firstLineChars="200"/>
        <w:rPr>
          <w:rFonts w:ascii="宋体" w:hAnsi="宋体"/>
          <w:bCs/>
          <w:sz w:val="24"/>
        </w:rPr>
      </w:pPr>
      <w:r>
        <w:rPr>
          <w:rFonts w:ascii="宋体" w:hAnsi="宋体"/>
          <w:bCs/>
          <w:sz w:val="24"/>
        </w:rPr>
        <w:t>（2）决议：基金份额持有人大会在基金管理人职责终止后6个月内对被提名的基金管理人形成决议，该决议需经参加大会的基金份额持有人所持表决权的三分之二以上（含三分之二）表决通过，</w:t>
      </w:r>
      <w:r>
        <w:rPr>
          <w:rFonts w:hint="eastAsia" w:ascii="宋体" w:hAnsi="宋体"/>
          <w:bCs/>
          <w:sz w:val="24"/>
        </w:rPr>
        <w:t>决议</w:t>
      </w:r>
      <w:r>
        <w:rPr>
          <w:rFonts w:ascii="宋体" w:hAnsi="宋体"/>
          <w:bCs/>
          <w:sz w:val="24"/>
        </w:rPr>
        <w:t>自表决通过之日起生效；</w:t>
      </w:r>
    </w:p>
    <w:p w14:paraId="4DFADEC8">
      <w:pPr>
        <w:spacing w:line="360" w:lineRule="auto"/>
        <w:ind w:firstLine="480" w:firstLineChars="200"/>
        <w:rPr>
          <w:rFonts w:ascii="宋体" w:hAnsi="宋体"/>
          <w:bCs/>
          <w:sz w:val="24"/>
        </w:rPr>
      </w:pPr>
      <w:r>
        <w:rPr>
          <w:rFonts w:ascii="宋体" w:hAnsi="宋体"/>
          <w:bCs/>
          <w:sz w:val="24"/>
        </w:rPr>
        <w:t>（3）临时基金管理人：新任基金管理人产生之前，由中国证监会指定临时基金管理人；</w:t>
      </w:r>
    </w:p>
    <w:p w14:paraId="5F6DAA60">
      <w:pPr>
        <w:spacing w:line="360" w:lineRule="auto"/>
        <w:ind w:firstLine="480" w:firstLineChars="200"/>
        <w:rPr>
          <w:rFonts w:ascii="宋体" w:hAnsi="宋体"/>
          <w:bCs/>
          <w:sz w:val="24"/>
        </w:rPr>
      </w:pPr>
      <w:r>
        <w:rPr>
          <w:rFonts w:ascii="宋体" w:hAnsi="宋体"/>
          <w:bCs/>
          <w:sz w:val="24"/>
        </w:rPr>
        <w:t>（4）备案：基金份额持有人大会更换基金管理人的决议须报中国证监会备案；</w:t>
      </w:r>
    </w:p>
    <w:p w14:paraId="098140CF">
      <w:pPr>
        <w:spacing w:line="360" w:lineRule="auto"/>
        <w:ind w:firstLine="480" w:firstLineChars="200"/>
        <w:rPr>
          <w:rFonts w:ascii="宋体" w:hAnsi="宋体"/>
          <w:bCs/>
          <w:sz w:val="24"/>
        </w:rPr>
      </w:pPr>
      <w:r>
        <w:rPr>
          <w:rFonts w:ascii="宋体" w:hAnsi="宋体"/>
          <w:bCs/>
          <w:sz w:val="24"/>
        </w:rPr>
        <w:t>（5）公告：基金管理人更换后，由基金托管人在更换基金管理人的基金份额持有人大会决议生效后2日内在规定媒介公告；</w:t>
      </w:r>
    </w:p>
    <w:p w14:paraId="4976BA5A">
      <w:pPr>
        <w:spacing w:line="360" w:lineRule="auto"/>
        <w:ind w:firstLine="480" w:firstLineChars="200"/>
        <w:rPr>
          <w:rFonts w:ascii="宋体" w:hAnsi="宋体"/>
          <w:bCs/>
          <w:sz w:val="24"/>
        </w:rPr>
      </w:pPr>
      <w:r>
        <w:rPr>
          <w:rFonts w:ascii="宋体" w:hAnsi="宋体"/>
          <w:bCs/>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Pr>
          <w:bCs/>
          <w:sz w:val="24"/>
        </w:rPr>
        <w:t>和基金资产净值</w:t>
      </w:r>
      <w:r>
        <w:rPr>
          <w:rFonts w:ascii="宋体" w:hAnsi="宋体"/>
          <w:bCs/>
          <w:sz w:val="24"/>
        </w:rPr>
        <w:t>；</w:t>
      </w:r>
    </w:p>
    <w:p w14:paraId="15370AB7">
      <w:pPr>
        <w:spacing w:line="360" w:lineRule="auto"/>
        <w:ind w:firstLine="480" w:firstLineChars="200"/>
        <w:rPr>
          <w:rFonts w:ascii="宋体" w:hAnsi="宋体"/>
          <w:bCs/>
          <w:sz w:val="24"/>
        </w:rPr>
      </w:pPr>
      <w:r>
        <w:rPr>
          <w:rFonts w:ascii="宋体" w:hAnsi="宋体"/>
          <w:bCs/>
          <w:sz w:val="24"/>
        </w:rPr>
        <w:t>（7）审计：基金管理人职责终止的，应当按照法律法规规定聘请</w:t>
      </w:r>
      <w:r>
        <w:rPr>
          <w:rFonts w:hint="eastAsia" w:ascii="宋体" w:hAnsi="宋体"/>
          <w:bCs/>
          <w:sz w:val="24"/>
        </w:rPr>
        <w:t>符合《中华人民共和国证券法》规定的</w:t>
      </w:r>
      <w:r>
        <w:rPr>
          <w:rFonts w:ascii="宋体" w:hAnsi="宋体"/>
          <w:bCs/>
          <w:sz w:val="24"/>
        </w:rPr>
        <w:t>会计师事务所对基金财产进行审计，并将审计结果予以公告，同时报中国证监会备案，审计费用从基金财产中列支；</w:t>
      </w:r>
    </w:p>
    <w:p w14:paraId="416634D9">
      <w:pPr>
        <w:pStyle w:val="210"/>
        <w:ind w:firstLine="480"/>
        <w:rPr>
          <w:szCs w:val="24"/>
        </w:rPr>
      </w:pPr>
      <w:r>
        <w:rPr>
          <w:rFonts w:ascii="宋体" w:hAnsi="宋体"/>
        </w:rPr>
        <w:t>（8）基金名称变更：基金管理人更换后，如果原任或新任基金管理人要求，应按其要求替换或删除基金名称中与原基金管理人有关的名称字样。</w:t>
      </w:r>
    </w:p>
    <w:p w14:paraId="1BCEDA61">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（二）基金托管人的更换</w:t>
      </w:r>
    </w:p>
    <w:p w14:paraId="340274D3">
      <w:pPr>
        <w:spacing w:line="360" w:lineRule="auto"/>
        <w:ind w:firstLine="480" w:firstLineChars="200"/>
        <w:rPr>
          <w:rFonts w:ascii="宋体" w:hAnsi="宋体"/>
          <w:sz w:val="24"/>
        </w:rPr>
      </w:pPr>
      <w:r>
        <w:rPr>
          <w:rFonts w:ascii="宋体" w:hAnsi="宋体"/>
          <w:sz w:val="24"/>
        </w:rPr>
        <w:t>1.基金托管人职责终止的条件</w:t>
      </w:r>
    </w:p>
    <w:p w14:paraId="67B6B147">
      <w:pPr>
        <w:spacing w:line="360" w:lineRule="auto"/>
        <w:ind w:firstLine="480" w:firstLineChars="200"/>
        <w:rPr>
          <w:rFonts w:ascii="宋体" w:hAnsi="宋体"/>
          <w:sz w:val="24"/>
        </w:rPr>
      </w:pPr>
      <w:r>
        <w:rPr>
          <w:rFonts w:ascii="宋体" w:hAnsi="宋体"/>
          <w:sz w:val="24"/>
        </w:rPr>
        <w:t>有下列情形之一的，基金托管人职责终止：</w:t>
      </w:r>
    </w:p>
    <w:p w14:paraId="7369AF21">
      <w:pPr>
        <w:spacing w:line="360" w:lineRule="auto"/>
        <w:ind w:firstLine="480" w:firstLineChars="200"/>
        <w:rPr>
          <w:rFonts w:ascii="宋体" w:hAnsi="宋体"/>
          <w:sz w:val="24"/>
        </w:rPr>
      </w:pPr>
      <w:r>
        <w:rPr>
          <w:rFonts w:ascii="宋体" w:hAnsi="宋体"/>
          <w:sz w:val="24"/>
        </w:rPr>
        <w:t>（1）基金托管人被依法取消基金托管资格；</w:t>
      </w:r>
    </w:p>
    <w:p w14:paraId="53B66BA1">
      <w:pPr>
        <w:spacing w:line="360" w:lineRule="auto"/>
        <w:ind w:firstLine="480" w:firstLineChars="200"/>
        <w:rPr>
          <w:rFonts w:ascii="宋体" w:hAnsi="宋体"/>
          <w:sz w:val="24"/>
        </w:rPr>
      </w:pPr>
      <w:r>
        <w:rPr>
          <w:rFonts w:ascii="宋体" w:hAnsi="宋体"/>
          <w:sz w:val="24"/>
        </w:rPr>
        <w:t>（2）基金托管人依法解散、依法被撤销或被依法宣告破产；</w:t>
      </w:r>
    </w:p>
    <w:p w14:paraId="6E795920">
      <w:pPr>
        <w:spacing w:line="360" w:lineRule="auto"/>
        <w:ind w:firstLine="480" w:firstLineChars="200"/>
        <w:rPr>
          <w:rFonts w:ascii="宋体" w:hAnsi="宋体"/>
          <w:sz w:val="24"/>
        </w:rPr>
      </w:pPr>
      <w:r>
        <w:rPr>
          <w:rFonts w:ascii="宋体" w:hAnsi="宋体"/>
          <w:sz w:val="24"/>
        </w:rPr>
        <w:t>（3）基金托管人被基金份额持有人大会解任；</w:t>
      </w:r>
    </w:p>
    <w:p w14:paraId="194A0950">
      <w:pPr>
        <w:spacing w:line="360" w:lineRule="auto"/>
        <w:ind w:firstLine="480" w:firstLineChars="200"/>
        <w:rPr>
          <w:rFonts w:ascii="宋体" w:hAnsi="宋体"/>
          <w:sz w:val="24"/>
        </w:rPr>
      </w:pPr>
      <w:r>
        <w:rPr>
          <w:rFonts w:ascii="宋体" w:hAnsi="宋体"/>
          <w:sz w:val="24"/>
        </w:rPr>
        <w:t>（4）法律法规及中国证监会规定的和《基金合同》约定的其他情形。</w:t>
      </w:r>
    </w:p>
    <w:p w14:paraId="07A29A5C">
      <w:pPr>
        <w:spacing w:line="360" w:lineRule="auto"/>
        <w:ind w:firstLine="480" w:firstLineChars="200"/>
        <w:rPr>
          <w:rFonts w:ascii="宋体" w:hAnsi="宋体"/>
          <w:sz w:val="24"/>
        </w:rPr>
      </w:pPr>
      <w:r>
        <w:rPr>
          <w:rFonts w:ascii="宋体" w:hAnsi="宋体"/>
          <w:sz w:val="24"/>
        </w:rPr>
        <w:t>2.基金托管人的更换程序</w:t>
      </w:r>
    </w:p>
    <w:bookmarkEnd w:id="100"/>
    <w:bookmarkEnd w:id="101"/>
    <w:p w14:paraId="70F1EC6C">
      <w:pPr>
        <w:spacing w:line="360" w:lineRule="auto"/>
        <w:ind w:firstLine="480" w:firstLineChars="200"/>
        <w:rPr>
          <w:rFonts w:ascii="宋体" w:hAnsi="宋体"/>
          <w:sz w:val="24"/>
        </w:rPr>
      </w:pPr>
      <w:r>
        <w:rPr>
          <w:rFonts w:ascii="宋体" w:hAnsi="宋体"/>
          <w:sz w:val="24"/>
        </w:rPr>
        <w:t>（1）提名：新任基金托管人由基金管理人或由单独或合计持有10%以上（含10%）基金份额的基金份额持有人提名；</w:t>
      </w:r>
    </w:p>
    <w:p w14:paraId="7745CA01">
      <w:pPr>
        <w:spacing w:line="360" w:lineRule="auto"/>
        <w:ind w:firstLine="480" w:firstLineChars="200"/>
        <w:rPr>
          <w:rFonts w:ascii="宋体" w:hAnsi="宋体"/>
          <w:sz w:val="24"/>
        </w:rPr>
      </w:pPr>
      <w:r>
        <w:rPr>
          <w:rFonts w:ascii="宋体" w:hAnsi="宋体"/>
          <w:sz w:val="24"/>
        </w:rPr>
        <w:t>（2）决议：基金份额持有人大会在基金托管人职责终止后6个月内对被提名的基金托管人形成决议，该决议需经参加大会的基金份额持有人所持表决权的三分之二以上（含三分之二）表决通过，</w:t>
      </w:r>
      <w:r>
        <w:rPr>
          <w:rFonts w:hint="eastAsia" w:ascii="宋体" w:hAnsi="宋体"/>
          <w:sz w:val="24"/>
        </w:rPr>
        <w:t>决议</w:t>
      </w:r>
      <w:r>
        <w:rPr>
          <w:rFonts w:ascii="宋体" w:hAnsi="宋体"/>
          <w:sz w:val="24"/>
        </w:rPr>
        <w:t>自表决通过之日起生效；</w:t>
      </w:r>
    </w:p>
    <w:p w14:paraId="0BE38878">
      <w:pPr>
        <w:spacing w:line="360" w:lineRule="auto"/>
        <w:ind w:firstLine="480" w:firstLineChars="200"/>
        <w:rPr>
          <w:rFonts w:ascii="宋体" w:hAnsi="宋体"/>
          <w:sz w:val="24"/>
        </w:rPr>
      </w:pPr>
      <w:r>
        <w:rPr>
          <w:rFonts w:ascii="宋体" w:hAnsi="宋体"/>
          <w:sz w:val="24"/>
        </w:rPr>
        <w:t>（3）临时基金托管人：新任基金托管人产生之前，由中国证监会指定临时基金托管人；</w:t>
      </w:r>
    </w:p>
    <w:p w14:paraId="2CCC5B68">
      <w:pPr>
        <w:spacing w:line="360" w:lineRule="auto"/>
        <w:ind w:firstLine="480" w:firstLineChars="200"/>
        <w:rPr>
          <w:rFonts w:ascii="宋体" w:hAnsi="宋体"/>
          <w:sz w:val="24"/>
        </w:rPr>
      </w:pPr>
      <w:r>
        <w:rPr>
          <w:rFonts w:ascii="宋体" w:hAnsi="宋体"/>
          <w:sz w:val="24"/>
        </w:rPr>
        <w:t>（4）备案：基金份额持有人大会更换基金托管人的决议须报中国证监会备案；</w:t>
      </w:r>
    </w:p>
    <w:p w14:paraId="106DB089">
      <w:pPr>
        <w:spacing w:line="360" w:lineRule="auto"/>
        <w:ind w:firstLine="480" w:firstLineChars="200"/>
        <w:rPr>
          <w:rFonts w:ascii="宋体" w:hAnsi="宋体"/>
          <w:sz w:val="24"/>
        </w:rPr>
      </w:pPr>
      <w:r>
        <w:rPr>
          <w:rFonts w:ascii="宋体" w:hAnsi="宋体"/>
          <w:sz w:val="24"/>
        </w:rPr>
        <w:t>（5）公告：基金托管人更换后，由基金管理人在更换基金托管人的基金份额持有人大会决议生效后2日内在规定媒介公告；</w:t>
      </w:r>
    </w:p>
    <w:p w14:paraId="3C91DF02">
      <w:pPr>
        <w:spacing w:line="360" w:lineRule="auto"/>
        <w:ind w:firstLine="480" w:firstLineChars="200"/>
        <w:rPr>
          <w:rFonts w:ascii="宋体" w:hAnsi="宋体"/>
          <w:sz w:val="24"/>
        </w:rPr>
      </w:pPr>
      <w:r>
        <w:rPr>
          <w:rFonts w:ascii="宋体" w:hAnsi="宋体"/>
          <w:sz w:val="24"/>
        </w:rPr>
        <w:t>（6）交接：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p>
    <w:p w14:paraId="09D3EED7">
      <w:pPr>
        <w:spacing w:line="360" w:lineRule="auto"/>
        <w:ind w:firstLine="480" w:firstLineChars="200"/>
        <w:rPr>
          <w:rFonts w:ascii="宋体" w:hAnsi="宋体"/>
          <w:sz w:val="24"/>
        </w:rPr>
      </w:pPr>
      <w:r>
        <w:rPr>
          <w:rFonts w:ascii="宋体" w:hAnsi="宋体"/>
          <w:sz w:val="24"/>
        </w:rPr>
        <w:t>（7）审计：基金托管人职责终止的，应当按照法律法规规定聘请</w:t>
      </w:r>
      <w:r>
        <w:rPr>
          <w:rFonts w:hint="eastAsia" w:ascii="宋体" w:hAnsi="宋体"/>
          <w:sz w:val="24"/>
        </w:rPr>
        <w:t>符合《中华人民共和国证券法》规定的</w:t>
      </w:r>
      <w:r>
        <w:rPr>
          <w:rFonts w:ascii="宋体" w:hAnsi="宋体"/>
          <w:sz w:val="24"/>
        </w:rPr>
        <w:t>会计师事务所对基金财产进行审计，并将审计结果予以公告，同时报中国证监会备案，审计费用从基金财产中列支。</w:t>
      </w:r>
    </w:p>
    <w:p w14:paraId="4687FD91">
      <w:pPr>
        <w:tabs>
          <w:tab w:val="left" w:pos="3780"/>
        </w:tabs>
        <w:autoSpaceDE w:val="0"/>
        <w:autoSpaceDN w:val="0"/>
        <w:spacing w:before="156" w:after="156" w:line="360" w:lineRule="auto"/>
        <w:outlineLvl w:val="0"/>
        <w:rPr>
          <w:rFonts w:ascii="宋体"/>
          <w:b/>
          <w:bCs/>
          <w:sz w:val="24"/>
        </w:rPr>
      </w:pPr>
      <w:r>
        <w:rPr>
          <w:rFonts w:ascii="宋体" w:hAnsi="宋体"/>
          <w:b/>
          <w:bCs/>
          <w:sz w:val="24"/>
        </w:rPr>
        <w:t>（三）基金管理人与基金托管人同时更换</w:t>
      </w:r>
    </w:p>
    <w:p w14:paraId="7EEE6385">
      <w:pPr>
        <w:spacing w:line="360" w:lineRule="auto"/>
        <w:ind w:firstLine="480" w:firstLineChars="200"/>
        <w:rPr>
          <w:rFonts w:ascii="宋体" w:hAnsi="宋体"/>
          <w:sz w:val="24"/>
        </w:rPr>
      </w:pPr>
      <w:bookmarkStart w:id="102" w:name="_Toc125892451"/>
      <w:bookmarkStart w:id="103" w:name="_Toc466788866"/>
      <w:bookmarkStart w:id="104" w:name="_Toc523830007"/>
      <w:bookmarkStart w:id="105" w:name="_Toc22454478"/>
      <w:r>
        <w:rPr>
          <w:rFonts w:ascii="宋体" w:hAnsi="宋体"/>
          <w:sz w:val="24"/>
        </w:rPr>
        <w:t>1、提名：如果基金管理人和基金托管人同时更换，由单独或合计持有基金总份额10%以上（含10%）的基金份额持有人提名新的基金管理人和基金托管人；</w:t>
      </w:r>
    </w:p>
    <w:p w14:paraId="587F8FC0">
      <w:pPr>
        <w:spacing w:line="360" w:lineRule="auto"/>
        <w:ind w:firstLine="480" w:firstLineChars="200"/>
        <w:rPr>
          <w:rFonts w:ascii="宋体" w:hAnsi="宋体"/>
          <w:sz w:val="24"/>
        </w:rPr>
      </w:pPr>
      <w:r>
        <w:rPr>
          <w:rFonts w:ascii="宋体" w:hAnsi="宋体"/>
          <w:sz w:val="24"/>
        </w:rPr>
        <w:t>2、基金管理人和基金托管人的更换分别按上述程序进行；</w:t>
      </w:r>
    </w:p>
    <w:p w14:paraId="111961AE">
      <w:pPr>
        <w:spacing w:line="360" w:lineRule="auto"/>
        <w:ind w:left="1" w:firstLine="388" w:firstLineChars="162"/>
        <w:rPr>
          <w:rFonts w:ascii="宋体" w:hAnsi="宋体"/>
          <w:sz w:val="24"/>
        </w:rPr>
      </w:pPr>
      <w:r>
        <w:rPr>
          <w:rFonts w:ascii="宋体" w:hAnsi="宋体"/>
          <w:sz w:val="24"/>
        </w:rPr>
        <w:t>3、公告：新任基金管理人和新任基金托管人应在更换基金管理人和基金托管人的基金份额持有人大会决议生效后2日内在规定媒介上联合公告。</w:t>
      </w:r>
    </w:p>
    <w:p w14:paraId="702B5AB2">
      <w:pPr>
        <w:spacing w:line="360" w:lineRule="auto"/>
        <w:ind w:left="1" w:firstLine="388" w:firstLineChars="162"/>
        <w:rPr>
          <w:rFonts w:ascii="宋体"/>
          <w:bCs/>
          <w:sz w:val="24"/>
        </w:rPr>
      </w:pPr>
      <w:r>
        <w:rPr>
          <w:rFonts w:ascii="宋体"/>
          <w:b/>
          <w:bCs/>
          <w:sz w:val="24"/>
        </w:rPr>
        <w:t>（四）新任基金管理人或临时基金管理人接收基金管理业务，或新任基金托管人或临时基金托管人接收基金财产和基金托管业务前，原基金管理人或原基金托管人应依据法律法规和《基金合同》的约定继续履行相关职责，并保证不做出对基金份额持有人的利益造成损害的行为。原基金管理人或原基金托管人在继续履行相关职责期间，仍有权按照《基金合同》的约定收取基金管理费或基金托管费。</w:t>
      </w:r>
    </w:p>
    <w:p w14:paraId="6E8705F8">
      <w:pPr>
        <w:spacing w:line="360" w:lineRule="auto"/>
        <w:ind w:left="1" w:firstLine="388" w:firstLineChars="162"/>
        <w:rPr>
          <w:rFonts w:ascii="宋体"/>
          <w:sz w:val="24"/>
        </w:rPr>
      </w:pPr>
      <w:r>
        <w:rPr>
          <w:rFonts w:ascii="宋体"/>
          <w:b/>
          <w:bCs/>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14DC72A">
      <w:pPr>
        <w:pStyle w:val="2"/>
      </w:pPr>
      <w:bookmarkStart w:id="106" w:name="_Toc65162014"/>
      <w:r>
        <w:t>十五、禁止行为</w:t>
      </w:r>
      <w:bookmarkEnd w:id="102"/>
      <w:bookmarkEnd w:id="103"/>
      <w:bookmarkEnd w:id="104"/>
      <w:bookmarkEnd w:id="105"/>
      <w:bookmarkEnd w:id="106"/>
    </w:p>
    <w:p w14:paraId="61F94013">
      <w:pPr>
        <w:spacing w:line="360" w:lineRule="auto"/>
        <w:ind w:firstLine="480" w:firstLineChars="200"/>
        <w:rPr>
          <w:rFonts w:ascii="宋体"/>
          <w:sz w:val="24"/>
        </w:rPr>
      </w:pPr>
      <w:r>
        <w:rPr>
          <w:rFonts w:ascii="宋体" w:hAnsi="宋体"/>
          <w:sz w:val="24"/>
        </w:rPr>
        <w:t>本协议项下的基金管理人和基金托管人禁止行为如下：</w:t>
      </w:r>
    </w:p>
    <w:p w14:paraId="08B34E84">
      <w:pPr>
        <w:tabs>
          <w:tab w:val="left" w:pos="3780"/>
        </w:tabs>
        <w:autoSpaceDE w:val="0"/>
        <w:autoSpaceDN w:val="0"/>
        <w:spacing w:before="156" w:after="156" w:line="360" w:lineRule="auto"/>
        <w:outlineLvl w:val="0"/>
        <w:rPr>
          <w:rFonts w:ascii="宋体"/>
          <w:b/>
          <w:bCs/>
          <w:sz w:val="24"/>
        </w:rPr>
      </w:pPr>
      <w:r>
        <w:rPr>
          <w:rFonts w:ascii="宋体" w:hAnsi="宋体"/>
          <w:b/>
          <w:bCs/>
          <w:sz w:val="24"/>
        </w:rPr>
        <w:t>（一）《基金法》禁止的行为。</w:t>
      </w:r>
    </w:p>
    <w:p w14:paraId="1976C07B">
      <w:pPr>
        <w:tabs>
          <w:tab w:val="left" w:pos="3780"/>
        </w:tabs>
        <w:autoSpaceDE w:val="0"/>
        <w:autoSpaceDN w:val="0"/>
        <w:spacing w:before="156" w:after="156" w:line="360" w:lineRule="auto"/>
        <w:outlineLvl w:val="0"/>
        <w:rPr>
          <w:rFonts w:ascii="宋体"/>
          <w:b/>
          <w:bCs/>
          <w:sz w:val="24"/>
        </w:rPr>
      </w:pPr>
      <w:r>
        <w:rPr>
          <w:rFonts w:ascii="宋体" w:hAnsi="宋体"/>
          <w:b/>
          <w:bCs/>
          <w:sz w:val="24"/>
        </w:rPr>
        <w:t>（二）除非法律法规及中国证监会另有规定，托管协议当事人用基金财产从事《基金法》禁止的投资或活动。</w:t>
      </w:r>
    </w:p>
    <w:p w14:paraId="7557E7A0">
      <w:pPr>
        <w:tabs>
          <w:tab w:val="left" w:pos="3780"/>
        </w:tabs>
        <w:autoSpaceDE w:val="0"/>
        <w:autoSpaceDN w:val="0"/>
        <w:spacing w:before="156" w:after="156" w:line="360" w:lineRule="auto"/>
        <w:outlineLvl w:val="0"/>
        <w:rPr>
          <w:rFonts w:ascii="宋体"/>
          <w:b/>
          <w:bCs/>
          <w:sz w:val="24"/>
        </w:rPr>
      </w:pPr>
      <w:r>
        <w:rPr>
          <w:rFonts w:ascii="宋体" w:hAnsi="宋体"/>
          <w:b/>
          <w:bCs/>
          <w:sz w:val="24"/>
        </w:rPr>
        <w:t>（三）除《基金法》及其他有关法规、《基金合同》及中国证监会另有规定，基金管理人、基金托管人利用基金财产为自身和任何第三人谋取利益。</w:t>
      </w:r>
    </w:p>
    <w:p w14:paraId="65E65D37">
      <w:pPr>
        <w:tabs>
          <w:tab w:val="left" w:pos="3780"/>
        </w:tabs>
        <w:autoSpaceDE w:val="0"/>
        <w:autoSpaceDN w:val="0"/>
        <w:spacing w:before="156" w:after="156" w:line="360" w:lineRule="auto"/>
        <w:outlineLvl w:val="0"/>
        <w:rPr>
          <w:rFonts w:ascii="宋体"/>
          <w:b/>
          <w:bCs/>
          <w:sz w:val="24"/>
        </w:rPr>
      </w:pPr>
      <w:r>
        <w:rPr>
          <w:rFonts w:ascii="宋体" w:hAnsi="宋体"/>
          <w:b/>
          <w:bCs/>
          <w:sz w:val="24"/>
        </w:rPr>
        <w:t>（四）基金管理人与基金托管人对基金运作过程中任何尚未按有关法规规定的方式公开披露的信息，对他人泄露。</w:t>
      </w:r>
    </w:p>
    <w:p w14:paraId="7256976E">
      <w:pPr>
        <w:tabs>
          <w:tab w:val="left" w:pos="3780"/>
        </w:tabs>
        <w:autoSpaceDE w:val="0"/>
        <w:autoSpaceDN w:val="0"/>
        <w:spacing w:before="156" w:after="156" w:line="360" w:lineRule="auto"/>
        <w:outlineLvl w:val="0"/>
        <w:rPr>
          <w:rFonts w:ascii="宋体"/>
          <w:b/>
          <w:bCs/>
          <w:sz w:val="24"/>
        </w:rPr>
      </w:pPr>
      <w:r>
        <w:rPr>
          <w:rFonts w:ascii="宋体" w:hAnsi="宋体"/>
          <w:b/>
          <w:bCs/>
          <w:sz w:val="24"/>
        </w:rPr>
        <w:t>（五）基金管理人在资金头寸不足的情况下，向基金托管人发送划款指令。</w:t>
      </w:r>
    </w:p>
    <w:p w14:paraId="3DC0FFAB">
      <w:pPr>
        <w:tabs>
          <w:tab w:val="left" w:pos="3780"/>
        </w:tabs>
        <w:autoSpaceDE w:val="0"/>
        <w:autoSpaceDN w:val="0"/>
        <w:spacing w:before="156" w:after="156" w:line="360" w:lineRule="auto"/>
        <w:outlineLvl w:val="0"/>
        <w:rPr>
          <w:rFonts w:ascii="宋体"/>
          <w:b/>
          <w:bCs/>
          <w:sz w:val="24"/>
        </w:rPr>
      </w:pPr>
      <w:r>
        <w:rPr>
          <w:rFonts w:ascii="宋体" w:hAnsi="宋体"/>
          <w:b/>
          <w:bCs/>
          <w:sz w:val="24"/>
        </w:rPr>
        <w:t>（六）在资金头寸充足且为基金托管人执行指令留出足够时间的情况下，基金托管人对基金管理人符合法律法规、《基金合同》、本协议的指令拖延或拒绝执行。</w:t>
      </w:r>
    </w:p>
    <w:p w14:paraId="7735C81B">
      <w:pPr>
        <w:tabs>
          <w:tab w:val="left" w:pos="3780"/>
        </w:tabs>
        <w:autoSpaceDE w:val="0"/>
        <w:autoSpaceDN w:val="0"/>
        <w:spacing w:before="156" w:after="156" w:line="360" w:lineRule="auto"/>
        <w:outlineLvl w:val="0"/>
        <w:rPr>
          <w:rFonts w:ascii="宋体"/>
          <w:b/>
          <w:bCs/>
          <w:sz w:val="24"/>
        </w:rPr>
      </w:pPr>
      <w:r>
        <w:rPr>
          <w:rFonts w:ascii="宋体" w:hAnsi="宋体"/>
          <w:b/>
          <w:bCs/>
          <w:sz w:val="24"/>
        </w:rPr>
        <w:t>（七）除根据基金管理人指令或《基金合同》另有规定的，基金托管人动用或处分基金财产。</w:t>
      </w:r>
    </w:p>
    <w:p w14:paraId="1655C04D">
      <w:pPr>
        <w:tabs>
          <w:tab w:val="left" w:pos="3780"/>
        </w:tabs>
        <w:autoSpaceDE w:val="0"/>
        <w:autoSpaceDN w:val="0"/>
        <w:spacing w:before="156" w:after="156" w:line="360" w:lineRule="auto"/>
        <w:outlineLvl w:val="0"/>
        <w:rPr>
          <w:rFonts w:ascii="宋体"/>
          <w:b/>
          <w:bCs/>
          <w:sz w:val="24"/>
        </w:rPr>
      </w:pPr>
      <w:r>
        <w:rPr>
          <w:rFonts w:ascii="宋体" w:hAnsi="宋体"/>
          <w:b/>
          <w:bCs/>
          <w:sz w:val="24"/>
        </w:rPr>
        <w:t>（八）基金管理人与基金托管人为同一机构，或相互出资或者持有股份。基金托管人、基金管理人在行政上、财务上不独立，其高级基金管理人员或其他从业人员相互兼职。</w:t>
      </w:r>
    </w:p>
    <w:p w14:paraId="46B48050">
      <w:pPr>
        <w:tabs>
          <w:tab w:val="left" w:pos="3780"/>
        </w:tabs>
        <w:autoSpaceDE w:val="0"/>
        <w:autoSpaceDN w:val="0"/>
        <w:spacing w:before="156" w:after="156" w:line="360" w:lineRule="auto"/>
        <w:outlineLvl w:val="0"/>
        <w:rPr>
          <w:rFonts w:ascii="宋体"/>
          <w:b/>
          <w:bCs/>
          <w:sz w:val="24"/>
        </w:rPr>
      </w:pPr>
      <w:r>
        <w:rPr>
          <w:rFonts w:ascii="宋体" w:hAnsi="宋体"/>
          <w:b/>
          <w:bCs/>
          <w:sz w:val="24"/>
        </w:rPr>
        <w:t>（九）《基金合同》投资限制中禁止投资的行为。</w:t>
      </w:r>
    </w:p>
    <w:p w14:paraId="7569844D">
      <w:pPr>
        <w:tabs>
          <w:tab w:val="left" w:pos="3780"/>
        </w:tabs>
        <w:autoSpaceDE w:val="0"/>
        <w:autoSpaceDN w:val="0"/>
        <w:spacing w:before="156" w:after="156" w:line="360" w:lineRule="auto"/>
        <w:outlineLvl w:val="0"/>
        <w:rPr>
          <w:rFonts w:ascii="宋体"/>
          <w:b/>
          <w:bCs/>
          <w:sz w:val="24"/>
        </w:rPr>
      </w:pPr>
      <w:r>
        <w:rPr>
          <w:rFonts w:ascii="宋体" w:hAnsi="宋体"/>
          <w:b/>
          <w:bCs/>
          <w:sz w:val="24"/>
        </w:rPr>
        <w:t>（十）法律法规、《基金合同》和本协议禁止的其他行为。</w:t>
      </w:r>
    </w:p>
    <w:p w14:paraId="35601C51">
      <w:pPr>
        <w:spacing w:line="360" w:lineRule="auto"/>
        <w:ind w:firstLine="480" w:firstLineChars="200"/>
        <w:rPr>
          <w:rFonts w:ascii="宋体" w:hAnsi="宋体"/>
          <w:sz w:val="24"/>
        </w:rPr>
      </w:pPr>
      <w:r>
        <w:rPr>
          <w:rFonts w:ascii="宋体" w:hAnsi="宋体"/>
          <w:sz w:val="24"/>
        </w:rPr>
        <w:t>法律法规</w:t>
      </w:r>
      <w:r>
        <w:rPr>
          <w:rFonts w:hint="eastAsia" w:ascii="宋体" w:hAnsi="宋体"/>
          <w:sz w:val="24"/>
        </w:rPr>
        <w:t>或</w:t>
      </w:r>
      <w:r>
        <w:rPr>
          <w:rFonts w:ascii="宋体" w:hAnsi="宋体"/>
          <w:sz w:val="24"/>
        </w:rPr>
        <w:t>监管部门取消或变更上述禁止性规定的，如适用于本基金，基金管理人在履行适当程序后，则本基金不受上述相关限制或按照变更后的规定执行。</w:t>
      </w:r>
    </w:p>
    <w:p w14:paraId="7EB205E6">
      <w:pPr>
        <w:pStyle w:val="2"/>
      </w:pPr>
      <w:bookmarkStart w:id="107" w:name="_Toc125892452"/>
      <w:bookmarkStart w:id="108" w:name="_Toc65162015"/>
      <w:bookmarkStart w:id="109" w:name="_Toc466788867"/>
      <w:bookmarkStart w:id="110" w:name="_Toc22454479"/>
      <w:bookmarkStart w:id="111" w:name="_Toc523830008"/>
      <w:r>
        <w:t>十六、基金托管协议的变更、终止与基金财产的清算</w:t>
      </w:r>
      <w:bookmarkEnd w:id="107"/>
      <w:bookmarkEnd w:id="108"/>
    </w:p>
    <w:p w14:paraId="10F3C7D3">
      <w:pPr>
        <w:tabs>
          <w:tab w:val="left" w:pos="3780"/>
        </w:tabs>
        <w:autoSpaceDE w:val="0"/>
        <w:autoSpaceDN w:val="0"/>
        <w:spacing w:before="156" w:after="156" w:line="360" w:lineRule="auto"/>
        <w:outlineLvl w:val="0"/>
        <w:rPr>
          <w:rFonts w:ascii="宋体"/>
          <w:b/>
          <w:bCs/>
          <w:sz w:val="24"/>
        </w:rPr>
      </w:pPr>
      <w:bookmarkStart w:id="112" w:name="_Toc510842757"/>
      <w:r>
        <w:rPr>
          <w:rFonts w:ascii="宋体" w:hAnsi="宋体"/>
          <w:b/>
          <w:bCs/>
          <w:sz w:val="24"/>
        </w:rPr>
        <w:t>（一）基金托管协议的变更</w:t>
      </w:r>
    </w:p>
    <w:bookmarkEnd w:id="112"/>
    <w:p w14:paraId="63731DA3">
      <w:pPr>
        <w:spacing w:line="360" w:lineRule="auto"/>
        <w:ind w:firstLine="480" w:firstLineChars="200"/>
        <w:rPr>
          <w:rFonts w:ascii="宋体"/>
          <w:sz w:val="24"/>
        </w:rPr>
      </w:pPr>
      <w:r>
        <w:rPr>
          <w:rFonts w:ascii="宋体" w:hAnsi="宋体"/>
          <w:sz w:val="24"/>
        </w:rPr>
        <w:t>本协议双方当事人经协商一致，可以对协议进行修改。修改后的新协议，其内容不得与《基金合同》的规定有任何冲突。</w:t>
      </w:r>
    </w:p>
    <w:p w14:paraId="65498B5B">
      <w:pPr>
        <w:tabs>
          <w:tab w:val="left" w:pos="3780"/>
        </w:tabs>
        <w:autoSpaceDE w:val="0"/>
        <w:autoSpaceDN w:val="0"/>
        <w:spacing w:before="156" w:after="156" w:line="360" w:lineRule="auto"/>
        <w:outlineLvl w:val="0"/>
        <w:rPr>
          <w:rFonts w:ascii="宋体"/>
          <w:b/>
          <w:bCs/>
          <w:sz w:val="24"/>
        </w:rPr>
      </w:pPr>
      <w:r>
        <w:rPr>
          <w:rFonts w:ascii="宋体" w:hAnsi="宋体"/>
          <w:b/>
          <w:bCs/>
          <w:sz w:val="24"/>
        </w:rPr>
        <w:t>（二）基金托管协议的终止</w:t>
      </w:r>
    </w:p>
    <w:p w14:paraId="3BC70736">
      <w:pPr>
        <w:spacing w:line="360" w:lineRule="auto"/>
        <w:ind w:firstLine="480" w:firstLineChars="200"/>
        <w:rPr>
          <w:rFonts w:ascii="宋体"/>
          <w:sz w:val="24"/>
        </w:rPr>
      </w:pPr>
      <w:r>
        <w:rPr>
          <w:rFonts w:ascii="宋体" w:hAnsi="宋体"/>
          <w:sz w:val="24"/>
        </w:rPr>
        <w:t>1.《基金合同》终止；</w:t>
      </w:r>
    </w:p>
    <w:p w14:paraId="2F707A4A">
      <w:pPr>
        <w:spacing w:line="360" w:lineRule="auto"/>
        <w:ind w:firstLine="480" w:firstLineChars="200"/>
        <w:rPr>
          <w:rFonts w:ascii="宋体"/>
          <w:sz w:val="24"/>
        </w:rPr>
      </w:pPr>
      <w:r>
        <w:rPr>
          <w:rFonts w:ascii="宋体" w:hAnsi="宋体"/>
          <w:sz w:val="24"/>
        </w:rPr>
        <w:t>2.基金托管人解散、依法被撤销、破产，被依法取消基金托管资格或因其他事由造成其他基金托管人接管基金财产；</w:t>
      </w:r>
    </w:p>
    <w:p w14:paraId="7F7820AB">
      <w:pPr>
        <w:spacing w:line="360" w:lineRule="auto"/>
        <w:ind w:firstLine="480" w:firstLineChars="200"/>
        <w:rPr>
          <w:rFonts w:ascii="宋体"/>
          <w:sz w:val="24"/>
        </w:rPr>
      </w:pPr>
      <w:r>
        <w:rPr>
          <w:rFonts w:ascii="宋体" w:hAnsi="宋体"/>
          <w:sz w:val="24"/>
        </w:rPr>
        <w:t>3.基金管理人解散、依法被撤销、破产，被依法取消基金管理资格或因其他事由造成其他基金管理人接管基金管理权；</w:t>
      </w:r>
    </w:p>
    <w:p w14:paraId="40AD95E2">
      <w:pPr>
        <w:spacing w:line="360" w:lineRule="auto"/>
        <w:ind w:firstLine="480" w:firstLineChars="200"/>
        <w:rPr>
          <w:rFonts w:ascii="宋体"/>
          <w:sz w:val="24"/>
        </w:rPr>
      </w:pPr>
      <w:r>
        <w:rPr>
          <w:rFonts w:ascii="宋体" w:hAnsi="宋体"/>
          <w:sz w:val="24"/>
        </w:rPr>
        <w:t>4.发生《基金法》、《运作办法》或其他法律法规规定的终止事项。</w:t>
      </w:r>
    </w:p>
    <w:p w14:paraId="3789CD50">
      <w:pPr>
        <w:tabs>
          <w:tab w:val="left" w:pos="3780"/>
        </w:tabs>
        <w:autoSpaceDE w:val="0"/>
        <w:autoSpaceDN w:val="0"/>
        <w:spacing w:before="156" w:after="156" w:line="360" w:lineRule="auto"/>
        <w:outlineLvl w:val="0"/>
        <w:rPr>
          <w:b/>
          <w:sz w:val="24"/>
        </w:rPr>
      </w:pPr>
      <w:r>
        <w:rPr>
          <w:b/>
          <w:sz w:val="24"/>
        </w:rPr>
        <w:t>（三）基金财产的清算</w:t>
      </w:r>
    </w:p>
    <w:p w14:paraId="5A0C0337">
      <w:pPr>
        <w:spacing w:line="360" w:lineRule="auto"/>
        <w:ind w:firstLine="480" w:firstLineChars="200"/>
        <w:rPr>
          <w:bCs/>
          <w:sz w:val="24"/>
        </w:rPr>
      </w:pPr>
      <w:r>
        <w:rPr>
          <w:bCs/>
          <w:sz w:val="24"/>
        </w:rPr>
        <w:t>1.基金财产清算小组：自出现《基金合同》终止事由之日起30个工作日内成立清算小组，基金管理人组织基金财产清算小组并在中国证监会的监督下进行基金清算。</w:t>
      </w:r>
    </w:p>
    <w:p w14:paraId="56FB00F3">
      <w:pPr>
        <w:spacing w:line="360" w:lineRule="auto"/>
        <w:ind w:firstLine="480" w:firstLineChars="200"/>
        <w:rPr>
          <w:bCs/>
          <w:sz w:val="24"/>
        </w:rPr>
      </w:pPr>
      <w:r>
        <w:rPr>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BD12CB3">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01020F00">
      <w:pPr>
        <w:spacing w:line="360" w:lineRule="auto"/>
        <w:ind w:firstLine="480" w:firstLineChars="200"/>
        <w:rPr>
          <w:bCs/>
          <w:sz w:val="24"/>
        </w:rPr>
      </w:pPr>
      <w:r>
        <w:rPr>
          <w:bCs/>
          <w:sz w:val="24"/>
        </w:rPr>
        <w:t>4.基金财产清算程序：</w:t>
      </w:r>
    </w:p>
    <w:p w14:paraId="4711A3DA">
      <w:pPr>
        <w:spacing w:line="360" w:lineRule="auto"/>
        <w:ind w:firstLine="480" w:firstLineChars="200"/>
        <w:rPr>
          <w:bCs/>
          <w:sz w:val="24"/>
        </w:rPr>
      </w:pPr>
      <w:r>
        <w:rPr>
          <w:bCs/>
          <w:sz w:val="24"/>
        </w:rPr>
        <w:t>（1）《基金合同》终止情形出现时，由基金财产清算小组统一接管基金；</w:t>
      </w:r>
    </w:p>
    <w:p w14:paraId="22D6A6EF">
      <w:pPr>
        <w:spacing w:line="360" w:lineRule="auto"/>
        <w:ind w:firstLine="480" w:firstLineChars="200"/>
        <w:rPr>
          <w:bCs/>
          <w:sz w:val="24"/>
        </w:rPr>
      </w:pPr>
      <w:r>
        <w:rPr>
          <w:bCs/>
          <w:sz w:val="24"/>
        </w:rPr>
        <w:t>（2）对基金财产和债权债务进行清理和确认；</w:t>
      </w:r>
    </w:p>
    <w:p w14:paraId="39D00779">
      <w:pPr>
        <w:spacing w:line="360" w:lineRule="auto"/>
        <w:ind w:firstLine="480" w:firstLineChars="200"/>
        <w:rPr>
          <w:bCs/>
          <w:sz w:val="24"/>
        </w:rPr>
      </w:pPr>
      <w:r>
        <w:rPr>
          <w:bCs/>
          <w:sz w:val="24"/>
        </w:rPr>
        <w:t>（3）对基金财产进行估值和变现；</w:t>
      </w:r>
    </w:p>
    <w:p w14:paraId="5F7C7D0F">
      <w:pPr>
        <w:spacing w:line="360" w:lineRule="auto"/>
        <w:ind w:firstLine="480" w:firstLineChars="200"/>
        <w:rPr>
          <w:bCs/>
          <w:sz w:val="24"/>
        </w:rPr>
      </w:pPr>
      <w:r>
        <w:rPr>
          <w:bCs/>
          <w:sz w:val="24"/>
        </w:rPr>
        <w:t>（4）制作清算报告；</w:t>
      </w:r>
    </w:p>
    <w:p w14:paraId="182D6CAB">
      <w:pPr>
        <w:spacing w:line="360" w:lineRule="auto"/>
        <w:ind w:firstLine="480" w:firstLineChars="200"/>
        <w:rPr>
          <w:bCs/>
          <w:sz w:val="24"/>
        </w:rPr>
      </w:pPr>
      <w:r>
        <w:rPr>
          <w:bCs/>
          <w:sz w:val="24"/>
        </w:rPr>
        <w:t>（5）聘请</w:t>
      </w:r>
      <w:r>
        <w:rPr>
          <w:rFonts w:hint="eastAsia"/>
          <w:bCs/>
          <w:sz w:val="24"/>
        </w:rPr>
        <w:t>符合《中华人民共和国证券法》规定的</w:t>
      </w:r>
      <w:r>
        <w:rPr>
          <w:bCs/>
          <w:sz w:val="24"/>
        </w:rPr>
        <w:t>会计师事务所对清算报告进行外部审计，聘请律师事务所对清算报告出具法律意见书；</w:t>
      </w:r>
    </w:p>
    <w:p w14:paraId="312A4D35">
      <w:pPr>
        <w:spacing w:line="360" w:lineRule="auto"/>
        <w:ind w:firstLine="480" w:firstLineChars="200"/>
        <w:rPr>
          <w:bCs/>
          <w:sz w:val="24"/>
        </w:rPr>
      </w:pPr>
      <w:r>
        <w:rPr>
          <w:bCs/>
          <w:sz w:val="24"/>
        </w:rPr>
        <w:t>（6）将清算报告报中国证监会备案并公告；</w:t>
      </w:r>
    </w:p>
    <w:p w14:paraId="699B0B33">
      <w:pPr>
        <w:spacing w:line="360" w:lineRule="auto"/>
        <w:ind w:firstLine="480" w:firstLineChars="200"/>
        <w:rPr>
          <w:bCs/>
          <w:sz w:val="24"/>
        </w:rPr>
      </w:pPr>
      <w:r>
        <w:rPr>
          <w:bCs/>
          <w:sz w:val="24"/>
        </w:rPr>
        <w:t>（7）对基金剩余财产进行分配。</w:t>
      </w:r>
    </w:p>
    <w:p w14:paraId="153CA0D4">
      <w:pPr>
        <w:spacing w:line="360" w:lineRule="auto"/>
        <w:ind w:firstLine="480" w:firstLineChars="200"/>
        <w:rPr>
          <w:rFonts w:ascii="宋体" w:hAnsi="宋体"/>
          <w:sz w:val="24"/>
        </w:rPr>
      </w:pPr>
      <w:r>
        <w:rPr>
          <w:bCs/>
          <w:sz w:val="24"/>
        </w:rPr>
        <w:t>5.基金财产清算的期限为6个月，但因本基金所持证券的流动性受到限制而不能及时变现的，清算期限相应顺延。</w:t>
      </w:r>
    </w:p>
    <w:p w14:paraId="031555AE">
      <w:pPr>
        <w:spacing w:line="360" w:lineRule="auto"/>
        <w:ind w:firstLine="480" w:firstLineChars="200"/>
        <w:rPr>
          <w:rFonts w:ascii="宋体" w:hAnsi="宋体"/>
          <w:sz w:val="24"/>
        </w:rPr>
      </w:pPr>
      <w:r>
        <w:rPr>
          <w:rFonts w:ascii="宋体" w:hAnsi="宋体"/>
          <w:sz w:val="24"/>
        </w:rPr>
        <w:t>6.清算费用</w:t>
      </w:r>
    </w:p>
    <w:p w14:paraId="45D42293">
      <w:pPr>
        <w:spacing w:line="360" w:lineRule="auto"/>
        <w:ind w:firstLine="480" w:firstLineChars="200"/>
        <w:rPr>
          <w:rFonts w:ascii="宋体" w:hAnsi="宋体"/>
          <w:sz w:val="24"/>
        </w:rPr>
      </w:pPr>
      <w:r>
        <w:rPr>
          <w:rFonts w:ascii="宋体" w:hAnsi="宋体"/>
          <w:sz w:val="24"/>
        </w:rPr>
        <w:t>清算费用是指基金财产清算小组在进行基金财产清算过程中发生的所有合理费用，清算费用由基金财产清算小组优先从基金剩余财产中支付。</w:t>
      </w:r>
    </w:p>
    <w:p w14:paraId="67B16E0C">
      <w:pPr>
        <w:spacing w:line="360" w:lineRule="auto"/>
        <w:ind w:firstLine="480" w:firstLineChars="200"/>
        <w:rPr>
          <w:rFonts w:ascii="宋体" w:hAnsi="宋体"/>
          <w:sz w:val="24"/>
        </w:rPr>
      </w:pPr>
      <w:r>
        <w:rPr>
          <w:rFonts w:ascii="宋体" w:hAnsi="宋体"/>
          <w:sz w:val="24"/>
        </w:rPr>
        <w:t>7.基金财产清算剩余资产的分配</w:t>
      </w:r>
    </w:p>
    <w:p w14:paraId="164E7CB0">
      <w:pPr>
        <w:spacing w:line="360" w:lineRule="auto"/>
        <w:ind w:firstLine="480" w:firstLineChars="200"/>
        <w:rPr>
          <w:rFonts w:ascii="宋体" w:hAnsi="宋体"/>
          <w:sz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07DF5CA5">
      <w:pPr>
        <w:spacing w:line="360" w:lineRule="auto"/>
        <w:ind w:firstLine="480" w:firstLineChars="200"/>
        <w:rPr>
          <w:rFonts w:ascii="宋体" w:hAnsi="宋体"/>
          <w:sz w:val="24"/>
        </w:rPr>
      </w:pPr>
      <w:r>
        <w:rPr>
          <w:rFonts w:ascii="宋体" w:hAnsi="宋体"/>
          <w:sz w:val="24"/>
        </w:rPr>
        <w:t>8.基金财产清算的公告</w:t>
      </w:r>
    </w:p>
    <w:p w14:paraId="4B5B9992">
      <w:pPr>
        <w:autoSpaceDE w:val="0"/>
        <w:autoSpaceDN w:val="0"/>
        <w:spacing w:line="360" w:lineRule="auto"/>
        <w:ind w:firstLine="420"/>
        <w:rPr>
          <w:rFonts w:ascii="宋体"/>
          <w:sz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AD69330">
      <w:pPr>
        <w:spacing w:line="360" w:lineRule="auto"/>
        <w:ind w:firstLine="480" w:firstLineChars="200"/>
        <w:rPr>
          <w:rFonts w:ascii="宋体"/>
          <w:sz w:val="24"/>
        </w:rPr>
      </w:pPr>
      <w:r>
        <w:rPr>
          <w:rFonts w:ascii="宋体" w:hAnsi="宋体"/>
          <w:sz w:val="24"/>
        </w:rPr>
        <w:t>9.基金财产清算账册及文件的保存</w:t>
      </w:r>
    </w:p>
    <w:p w14:paraId="357AF7F2">
      <w:pPr>
        <w:spacing w:line="360" w:lineRule="auto"/>
        <w:ind w:firstLine="480" w:firstLineChars="200"/>
        <w:rPr>
          <w:rFonts w:ascii="宋体"/>
          <w:sz w:val="24"/>
        </w:rPr>
      </w:pPr>
      <w:r>
        <w:rPr>
          <w:rFonts w:ascii="宋体" w:hAnsi="宋体"/>
          <w:sz w:val="24"/>
        </w:rPr>
        <w:t>基金财产清算账册及有关文件由基金托管人保存，保存期限不少于法定最低期限。</w:t>
      </w:r>
      <w:bookmarkStart w:id="113" w:name="_Toc125892453"/>
    </w:p>
    <w:p w14:paraId="0300617C">
      <w:pPr>
        <w:pStyle w:val="2"/>
      </w:pPr>
      <w:bookmarkStart w:id="114" w:name="_Toc65162016"/>
      <w:r>
        <w:t>十七、违约责任</w:t>
      </w:r>
      <w:bookmarkEnd w:id="109"/>
      <w:bookmarkEnd w:id="110"/>
      <w:bookmarkEnd w:id="111"/>
      <w:bookmarkEnd w:id="113"/>
      <w:bookmarkEnd w:id="114"/>
    </w:p>
    <w:p w14:paraId="40B9AEFC">
      <w:pPr>
        <w:tabs>
          <w:tab w:val="left" w:pos="3780"/>
        </w:tabs>
        <w:autoSpaceDE w:val="0"/>
        <w:autoSpaceDN w:val="0"/>
        <w:spacing w:before="156" w:after="156" w:line="360" w:lineRule="auto"/>
        <w:outlineLvl w:val="0"/>
        <w:rPr>
          <w:b/>
          <w:sz w:val="24"/>
        </w:rPr>
      </w:pPr>
      <w:r>
        <w:rPr>
          <w:b/>
          <w:sz w:val="24"/>
        </w:rPr>
        <w:t>（一）基金管理人或基金托管人不履行本协议或履行本协议不符合约定的，应当承担违约责任。</w:t>
      </w:r>
    </w:p>
    <w:p w14:paraId="6C7196FE">
      <w:pPr>
        <w:tabs>
          <w:tab w:val="left" w:pos="3780"/>
        </w:tabs>
        <w:autoSpaceDE w:val="0"/>
        <w:autoSpaceDN w:val="0"/>
        <w:spacing w:before="156" w:after="156" w:line="360" w:lineRule="auto"/>
        <w:outlineLvl w:val="0"/>
        <w:rPr>
          <w:b/>
          <w:sz w:val="24"/>
        </w:rPr>
      </w:pPr>
      <w:r>
        <w:rPr>
          <w:b/>
          <w:sz w:val="24"/>
        </w:rPr>
        <w:t>（二）</w:t>
      </w:r>
      <w:bookmarkStart w:id="115" w:name="OLE_LINK3"/>
      <w:r>
        <w:rPr>
          <w:b/>
          <w:sz w:val="24"/>
        </w:rPr>
        <w:t>基金管理人、基金托管人在履行各自职责的过程中，违反《基金法》等法律法规的规定或者本托管协议</w:t>
      </w:r>
      <w:r>
        <w:rPr>
          <w:rFonts w:ascii="宋体" w:hAnsi="宋体"/>
          <w:b/>
          <w:bCs/>
          <w:sz w:val="24"/>
        </w:rPr>
        <w:t>约定</w:t>
      </w:r>
      <w:r>
        <w:rPr>
          <w:b/>
          <w:sz w:val="24"/>
        </w:rPr>
        <w:t>，给基金财产或者基金份额持有人造成损害的，应当分别对各自的行为依法承担赔偿责任；因共同行为给基金财产或者基金份额持有人造成损害的，应当承担连带赔偿责任，对损失的赔偿，仅限于直接损失。</w:t>
      </w:r>
      <w:bookmarkEnd w:id="115"/>
      <w:r>
        <w:rPr>
          <w:b/>
          <w:sz w:val="24"/>
        </w:rPr>
        <w:t>但是发生下列情况，当事人应当免责：</w:t>
      </w:r>
    </w:p>
    <w:p w14:paraId="70B48164">
      <w:pPr>
        <w:spacing w:line="360" w:lineRule="auto"/>
        <w:ind w:firstLine="480" w:firstLineChars="200"/>
        <w:rPr>
          <w:rFonts w:ascii="宋体"/>
          <w:sz w:val="24"/>
        </w:rPr>
      </w:pPr>
      <w:r>
        <w:rPr>
          <w:rFonts w:ascii="宋体" w:hAnsi="宋体"/>
          <w:sz w:val="24"/>
        </w:rPr>
        <w:t>1.基金管理人和/或基金托管人按照中国证监会的规定或当时有效的法律法规作为或不作为而造成的损失等；</w:t>
      </w:r>
    </w:p>
    <w:p w14:paraId="06673B32">
      <w:pPr>
        <w:spacing w:line="360" w:lineRule="auto"/>
        <w:ind w:firstLine="480" w:firstLineChars="200"/>
        <w:rPr>
          <w:rFonts w:ascii="宋体"/>
          <w:sz w:val="24"/>
        </w:rPr>
      </w:pPr>
      <w:r>
        <w:rPr>
          <w:rFonts w:ascii="宋体" w:hAnsi="宋体"/>
          <w:sz w:val="24"/>
        </w:rPr>
        <w:t>2.基金管理人由于按照《基金合同》规定的投资原则而投资或不投资而造成的损失等；</w:t>
      </w:r>
    </w:p>
    <w:p w14:paraId="56C17E9B">
      <w:pPr>
        <w:spacing w:line="360" w:lineRule="auto"/>
        <w:ind w:firstLine="480" w:firstLineChars="200"/>
        <w:rPr>
          <w:rFonts w:hint="eastAsia" w:ascii="宋体" w:hAnsi="宋体"/>
          <w:sz w:val="24"/>
        </w:rPr>
      </w:pPr>
      <w:r>
        <w:rPr>
          <w:rFonts w:ascii="宋体" w:hAnsi="宋体"/>
          <w:sz w:val="24"/>
        </w:rPr>
        <w:t>3.不可抗力</w:t>
      </w:r>
      <w:r>
        <w:rPr>
          <w:rFonts w:hint="eastAsia" w:ascii="宋体" w:hAnsi="宋体"/>
          <w:sz w:val="24"/>
        </w:rPr>
        <w:t>；</w:t>
      </w:r>
    </w:p>
    <w:p w14:paraId="4DED7276">
      <w:pPr>
        <w:spacing w:line="360" w:lineRule="auto"/>
        <w:ind w:firstLine="480" w:firstLineChars="200"/>
        <w:rPr>
          <w:rFonts w:ascii="宋体" w:hAnsi="宋体"/>
          <w:sz w:val="24"/>
          <w:szCs w:val="21"/>
        </w:rPr>
      </w:pPr>
      <w:r>
        <w:rPr>
          <w:rFonts w:ascii="宋体" w:hAnsi="宋体"/>
          <w:sz w:val="24"/>
          <w:szCs w:val="21"/>
        </w:rPr>
        <w:t>4</w:t>
      </w:r>
      <w:r>
        <w:rPr>
          <w:rFonts w:hint="eastAsia" w:ascii="宋体" w:hAnsi="宋体"/>
          <w:sz w:val="24"/>
        </w:rPr>
        <w:t>.</w:t>
      </w:r>
      <w:r>
        <w:rPr>
          <w:rFonts w:hint="eastAsia" w:ascii="宋体" w:hAnsi="宋体"/>
          <w:sz w:val="24"/>
          <w:szCs w:val="21"/>
        </w:rPr>
        <w:t>基金托管人由于按照基金管理人符合基金合同约定的有效指令执行而造成的损失等；</w:t>
      </w:r>
    </w:p>
    <w:p w14:paraId="23D82F2F">
      <w:pPr>
        <w:spacing w:line="360" w:lineRule="auto"/>
        <w:ind w:firstLine="480" w:firstLineChars="200"/>
        <w:rPr>
          <w:rFonts w:ascii="宋体" w:hAnsi="宋体"/>
          <w:sz w:val="24"/>
          <w:szCs w:val="21"/>
        </w:rPr>
      </w:pPr>
      <w:r>
        <w:rPr>
          <w:rFonts w:ascii="宋体" w:hAnsi="宋体"/>
          <w:sz w:val="24"/>
          <w:szCs w:val="21"/>
        </w:rPr>
        <w:t>5</w:t>
      </w:r>
      <w:r>
        <w:rPr>
          <w:rFonts w:hint="eastAsia" w:ascii="宋体" w:hAnsi="宋体"/>
          <w:sz w:val="24"/>
        </w:rPr>
        <w:t>.</w:t>
      </w:r>
      <w:r>
        <w:rPr>
          <w:rFonts w:hint="eastAsia" w:ascii="宋体" w:hAnsi="宋体"/>
          <w:sz w:val="24"/>
          <w:szCs w:val="21"/>
        </w:rPr>
        <w:t>基金托管人对存放或存管在基金托管人以外机构的基金资产，或交由商业银行、证券公司等其他机构负责清算交收的基金资产（包括但不限于保证金账户内的资金、期货合约等）及其收益，因该等机构欺诈、疏忽、过失、破产等原因给基金资产带来的损失等。</w:t>
      </w:r>
    </w:p>
    <w:p w14:paraId="16F5B9C4">
      <w:pPr>
        <w:spacing w:line="360" w:lineRule="auto"/>
        <w:ind w:firstLine="480" w:firstLineChars="200"/>
        <w:rPr>
          <w:rFonts w:ascii="宋体"/>
          <w:sz w:val="24"/>
        </w:rPr>
      </w:pPr>
      <w:r>
        <w:rPr>
          <w:rFonts w:ascii="宋体" w:hAnsi="宋体"/>
          <w:sz w:val="24"/>
        </w:rPr>
        <w:t>如果由于本协议一方当事人（“违约方”）的违约行为给基金资产或基金投资者造成损失，而另一方当事人（“守约方”）赔偿了基金资产或基金投资者的损失，则守约方有权向违约方追索由此遭受的所有直接损失。</w:t>
      </w:r>
    </w:p>
    <w:p w14:paraId="76145A6F">
      <w:pPr>
        <w:spacing w:line="360" w:lineRule="auto"/>
        <w:ind w:firstLine="480" w:firstLineChars="200"/>
        <w:rPr>
          <w:rFonts w:ascii="宋体"/>
          <w:sz w:val="24"/>
        </w:rPr>
      </w:pPr>
      <w:r>
        <w:rPr>
          <w:rFonts w:ascii="宋体" w:hAnsi="宋体"/>
          <w:sz w:val="24"/>
        </w:rPr>
        <w:t>当事人一方违约，另一方在职责范围内有义务及时采取必要的措施，尽力防止损失的扩大。没有采取适当措施致使损失进一步扩大的，不得就扩大的损失要求赔偿。守约方因防止损失扩大而支出的合理费用由违约方承担。</w:t>
      </w:r>
    </w:p>
    <w:p w14:paraId="6753AFA1">
      <w:pPr>
        <w:spacing w:line="360" w:lineRule="auto"/>
        <w:ind w:firstLine="480" w:firstLineChars="200"/>
        <w:rPr>
          <w:rFonts w:ascii="宋体"/>
          <w:sz w:val="24"/>
        </w:rPr>
      </w:pPr>
      <w:r>
        <w:rPr>
          <w:rFonts w:ascii="宋体" w:hAnsi="宋体"/>
          <w:sz w:val="24"/>
        </w:rPr>
        <w:t>由于基金管理人、基金托管人不可控制的因素导致业务出现差错，基金管理人和基金托管人虽然已经采取必要、适当、合理的措施进行检查，但是未能发现</w:t>
      </w:r>
      <w:r>
        <w:rPr>
          <w:rFonts w:hint="eastAsia" w:ascii="宋体" w:hAnsi="宋体"/>
          <w:sz w:val="24"/>
        </w:rPr>
        <w:t>错误</w:t>
      </w:r>
      <w:r>
        <w:rPr>
          <w:rFonts w:ascii="宋体" w:hAnsi="宋体"/>
          <w:sz w:val="24"/>
        </w:rPr>
        <w:t>的，由此造成基金资产或基金投资者损失，基金管理人和基金托管人免除赔偿责任。但基金管理人和基金托管人应当积极采取必要的措施消除或降低由此造成的影响。</w:t>
      </w:r>
    </w:p>
    <w:p w14:paraId="7D80295C">
      <w:pPr>
        <w:tabs>
          <w:tab w:val="left" w:pos="3780"/>
        </w:tabs>
        <w:autoSpaceDE w:val="0"/>
        <w:autoSpaceDN w:val="0"/>
        <w:spacing w:before="156" w:after="156" w:line="360" w:lineRule="auto"/>
        <w:outlineLvl w:val="0"/>
        <w:rPr>
          <w:b/>
          <w:sz w:val="24"/>
        </w:rPr>
      </w:pPr>
      <w:r>
        <w:rPr>
          <w:b/>
          <w:sz w:val="24"/>
        </w:rPr>
        <w:t>（三）托管</w:t>
      </w:r>
      <w:r>
        <w:rPr>
          <w:rFonts w:ascii="宋体" w:hAnsi="宋体"/>
          <w:b/>
          <w:bCs/>
          <w:sz w:val="24"/>
        </w:rPr>
        <w:t>协议</w:t>
      </w:r>
      <w:r>
        <w:rPr>
          <w:b/>
          <w:sz w:val="24"/>
        </w:rPr>
        <w:t>当事人违反托管协议，给另一方当事人造成损失的，应承担赔偿责任。</w:t>
      </w:r>
    </w:p>
    <w:p w14:paraId="3BEE1DC9">
      <w:pPr>
        <w:tabs>
          <w:tab w:val="left" w:pos="3780"/>
        </w:tabs>
        <w:autoSpaceDE w:val="0"/>
        <w:autoSpaceDN w:val="0"/>
        <w:spacing w:before="156" w:after="156" w:line="360" w:lineRule="auto"/>
        <w:outlineLvl w:val="0"/>
        <w:rPr>
          <w:b/>
          <w:sz w:val="24"/>
        </w:rPr>
      </w:pPr>
      <w:r>
        <w:rPr>
          <w:b/>
          <w:sz w:val="24"/>
        </w:rPr>
        <w:t>（四）违约行为虽已发生，但本托管协议能够继续履行的，在最大限度地保护基金份额持有人</w:t>
      </w:r>
      <w:r>
        <w:rPr>
          <w:rFonts w:ascii="宋体" w:hAnsi="宋体"/>
          <w:b/>
          <w:bCs/>
          <w:sz w:val="24"/>
        </w:rPr>
        <w:t>利益</w:t>
      </w:r>
      <w:r>
        <w:rPr>
          <w:b/>
          <w:sz w:val="24"/>
        </w:rPr>
        <w:t>的前提下，基金管理人和基金托管人应当继续履行本协议。</w:t>
      </w:r>
      <w:bookmarkStart w:id="116" w:name="_Toc466788868"/>
      <w:bookmarkStart w:id="117" w:name="_Toc523830010"/>
      <w:bookmarkStart w:id="118" w:name="_Toc22454480"/>
      <w:bookmarkStart w:id="119" w:name="_Toc125892454"/>
    </w:p>
    <w:p w14:paraId="7A766193">
      <w:pPr>
        <w:tabs>
          <w:tab w:val="left" w:pos="3780"/>
        </w:tabs>
        <w:autoSpaceDE w:val="0"/>
        <w:autoSpaceDN w:val="0"/>
        <w:spacing w:before="156" w:after="156" w:line="360" w:lineRule="auto"/>
        <w:outlineLvl w:val="0"/>
        <w:rPr>
          <w:b/>
          <w:sz w:val="24"/>
        </w:rPr>
      </w:pPr>
      <w:r>
        <w:rPr>
          <w:b/>
          <w:sz w:val="24"/>
        </w:rPr>
        <w:t>（五）本协议所指损失均为直接损失。</w:t>
      </w:r>
    </w:p>
    <w:p w14:paraId="08536122">
      <w:pPr>
        <w:pStyle w:val="2"/>
      </w:pPr>
      <w:bookmarkStart w:id="120" w:name="_Toc65162017"/>
      <w:r>
        <w:t>十八、争议</w:t>
      </w:r>
      <w:bookmarkEnd w:id="116"/>
      <w:bookmarkEnd w:id="117"/>
      <w:bookmarkEnd w:id="118"/>
      <w:r>
        <w:t>解决方式</w:t>
      </w:r>
      <w:bookmarkEnd w:id="119"/>
      <w:bookmarkEnd w:id="120"/>
    </w:p>
    <w:p w14:paraId="5C7BF8E5">
      <w:pPr>
        <w:spacing w:line="360" w:lineRule="auto"/>
        <w:ind w:firstLine="480" w:firstLineChars="200"/>
        <w:rPr>
          <w:rFonts w:ascii="宋体"/>
          <w:sz w:val="24"/>
        </w:rPr>
      </w:pPr>
      <w:r>
        <w:rPr>
          <w:rFonts w:ascii="宋体" w:hAnsi="宋体"/>
          <w:sz w:val="24"/>
        </w:rPr>
        <w:t>双方当事人同意，因本协议而产生的或与本协议有关的一切争议，应通过友好协商或者调解解决。托管协议当事人不愿通过协商、调解解决或者协商、调解不成的，任何一方当事人均有权将争议提交上海国际经济贸易仲裁委员会，根据该会届时有效的仲裁规则进行仲裁，仲裁的地点在上海市，仲裁裁决是终局的，并对相关各方当事人均有约束力。除非仲裁裁决另有决定，仲裁费用</w:t>
      </w:r>
      <w:r>
        <w:rPr>
          <w:rFonts w:hint="eastAsia" w:ascii="宋体" w:hAnsi="宋体"/>
          <w:sz w:val="24"/>
        </w:rPr>
        <w:t>、律师费</w:t>
      </w:r>
      <w:r>
        <w:rPr>
          <w:rFonts w:ascii="宋体" w:hAnsi="宋体"/>
          <w:sz w:val="24"/>
        </w:rPr>
        <w:t>由败诉方承担。</w:t>
      </w:r>
    </w:p>
    <w:p w14:paraId="4D15C68C">
      <w:pPr>
        <w:spacing w:line="360" w:lineRule="auto"/>
        <w:ind w:firstLine="480" w:firstLineChars="200"/>
        <w:rPr>
          <w:rFonts w:ascii="宋体"/>
          <w:sz w:val="24"/>
        </w:rPr>
      </w:pPr>
      <w:r>
        <w:rPr>
          <w:rFonts w:ascii="宋体" w:hAnsi="宋体"/>
          <w:sz w:val="24"/>
        </w:rPr>
        <w:t>争议处理期间，双方当事人应恪守基金管理人和基金托管人职责，继续忠实、勤勉、尽责地履行《基金合同》和本协议规定的义务，维护基金份额持有人的合法权益。</w:t>
      </w:r>
    </w:p>
    <w:p w14:paraId="41BDC9DE">
      <w:pPr>
        <w:spacing w:line="360" w:lineRule="auto"/>
        <w:ind w:firstLine="480" w:firstLineChars="200"/>
        <w:rPr>
          <w:rFonts w:ascii="宋体"/>
          <w:sz w:val="24"/>
        </w:rPr>
      </w:pPr>
      <w:r>
        <w:rPr>
          <w:rFonts w:ascii="宋体" w:hAnsi="宋体"/>
          <w:sz w:val="24"/>
        </w:rPr>
        <w:t>本协议受中华人民共和国法律（为本协议之目的，在此不包括香港特别行政区、澳门特别行政区和台湾地区法律）管辖并从其解释。</w:t>
      </w:r>
      <w:bookmarkStart w:id="121" w:name="_Toc22454481"/>
      <w:bookmarkStart w:id="122" w:name="_Toc523830011"/>
      <w:bookmarkStart w:id="123" w:name="_Toc125892455"/>
      <w:bookmarkStart w:id="124" w:name="_Toc466788869"/>
    </w:p>
    <w:p w14:paraId="3BF8CB4A">
      <w:pPr>
        <w:pStyle w:val="2"/>
      </w:pPr>
      <w:bookmarkStart w:id="125" w:name="_Toc65162018"/>
      <w:r>
        <w:t>十九、基金托管协议的效力</w:t>
      </w:r>
      <w:bookmarkEnd w:id="121"/>
      <w:bookmarkEnd w:id="122"/>
      <w:bookmarkEnd w:id="123"/>
      <w:bookmarkEnd w:id="124"/>
      <w:bookmarkEnd w:id="125"/>
    </w:p>
    <w:p w14:paraId="612CD9BA">
      <w:pPr>
        <w:tabs>
          <w:tab w:val="left" w:pos="3780"/>
        </w:tabs>
        <w:autoSpaceDE w:val="0"/>
        <w:autoSpaceDN w:val="0"/>
        <w:spacing w:before="156" w:after="156" w:line="360" w:lineRule="auto"/>
        <w:outlineLvl w:val="0"/>
        <w:rPr>
          <w:b/>
          <w:sz w:val="24"/>
        </w:rPr>
      </w:pPr>
      <w:r>
        <w:rPr>
          <w:b/>
          <w:sz w:val="24"/>
        </w:rPr>
        <w:t>（一）基金管理人在向中国证监会申请募集注册时提交的基金托管协议草案，应经托管协议当事人双方盖章以及双方法定代表人或授权代表签字或盖章，协议当事人双方根据中国证监会的意见修改托管协议草案。托管协议以报中国证监会注册的文本为正式文本。</w:t>
      </w:r>
    </w:p>
    <w:p w14:paraId="32280030">
      <w:pPr>
        <w:tabs>
          <w:tab w:val="left" w:pos="3780"/>
        </w:tabs>
        <w:autoSpaceDE w:val="0"/>
        <w:autoSpaceDN w:val="0"/>
        <w:spacing w:before="156" w:after="156" w:line="360" w:lineRule="auto"/>
        <w:outlineLvl w:val="0"/>
        <w:rPr>
          <w:b/>
          <w:sz w:val="24"/>
        </w:rPr>
      </w:pPr>
      <w:r>
        <w:rPr>
          <w:b/>
          <w:sz w:val="24"/>
        </w:rPr>
        <w:t>（二）基金托管协议自《基金合同》成立之日起成立，自《基金合同》生效之日起生效。基金</w:t>
      </w:r>
      <w:r>
        <w:rPr>
          <w:rFonts w:ascii="宋体" w:hAnsi="宋体"/>
          <w:b/>
          <w:bCs/>
          <w:sz w:val="24"/>
        </w:rPr>
        <w:t>托管</w:t>
      </w:r>
      <w:r>
        <w:rPr>
          <w:b/>
          <w:sz w:val="24"/>
        </w:rPr>
        <w:t>协议的有效期自其生效之日起至基金财产清算结果报中国证监会备案并公告之日止。</w:t>
      </w:r>
    </w:p>
    <w:p w14:paraId="113B7E42">
      <w:pPr>
        <w:tabs>
          <w:tab w:val="left" w:pos="3780"/>
        </w:tabs>
        <w:autoSpaceDE w:val="0"/>
        <w:autoSpaceDN w:val="0"/>
        <w:spacing w:before="156" w:after="156" w:line="360" w:lineRule="auto"/>
        <w:outlineLvl w:val="0"/>
        <w:rPr>
          <w:b/>
          <w:sz w:val="24"/>
        </w:rPr>
      </w:pPr>
      <w:r>
        <w:rPr>
          <w:b/>
          <w:sz w:val="24"/>
        </w:rPr>
        <w:t>（三）基金托管</w:t>
      </w:r>
      <w:r>
        <w:rPr>
          <w:rFonts w:ascii="宋体" w:hAnsi="宋体"/>
          <w:b/>
          <w:bCs/>
          <w:sz w:val="24"/>
        </w:rPr>
        <w:t>协议</w:t>
      </w:r>
      <w:r>
        <w:rPr>
          <w:b/>
          <w:sz w:val="24"/>
        </w:rPr>
        <w:t>自生效之日起对托管协议当事人具有同等的法律约束力。</w:t>
      </w:r>
    </w:p>
    <w:p w14:paraId="1ED7FC87">
      <w:pPr>
        <w:tabs>
          <w:tab w:val="left" w:pos="3780"/>
        </w:tabs>
        <w:autoSpaceDE w:val="0"/>
        <w:autoSpaceDN w:val="0"/>
        <w:spacing w:before="156" w:after="156" w:line="360" w:lineRule="auto"/>
        <w:outlineLvl w:val="0"/>
        <w:rPr>
          <w:b/>
          <w:sz w:val="24"/>
        </w:rPr>
      </w:pPr>
      <w:r>
        <w:rPr>
          <w:b/>
          <w:sz w:val="24"/>
        </w:rPr>
        <w:t>（四）基金托管</w:t>
      </w:r>
      <w:r>
        <w:rPr>
          <w:rFonts w:ascii="宋体" w:hAnsi="宋体"/>
          <w:b/>
          <w:bCs/>
          <w:sz w:val="24"/>
        </w:rPr>
        <w:t>协议正本</w:t>
      </w:r>
      <w:r>
        <w:rPr>
          <w:b/>
          <w:sz w:val="24"/>
        </w:rPr>
        <w:t>一式</w:t>
      </w:r>
      <w:r>
        <w:rPr>
          <w:rFonts w:hint="eastAsia"/>
          <w:b/>
          <w:sz w:val="24"/>
        </w:rPr>
        <w:t>叁</w:t>
      </w:r>
      <w:r>
        <w:rPr>
          <w:b/>
          <w:sz w:val="24"/>
        </w:rPr>
        <w:t>份，除上报有关监管机构一式</w:t>
      </w:r>
      <w:r>
        <w:rPr>
          <w:rFonts w:hint="eastAsia"/>
          <w:b/>
          <w:sz w:val="24"/>
        </w:rPr>
        <w:t>壹</w:t>
      </w:r>
      <w:r>
        <w:rPr>
          <w:b/>
          <w:sz w:val="24"/>
        </w:rPr>
        <w:t>份外，基金管理人和基金托管人各持有</w:t>
      </w:r>
      <w:r>
        <w:rPr>
          <w:rFonts w:hint="eastAsia"/>
          <w:b/>
          <w:sz w:val="24"/>
        </w:rPr>
        <w:t>壹</w:t>
      </w:r>
      <w:r>
        <w:rPr>
          <w:b/>
          <w:sz w:val="24"/>
        </w:rPr>
        <w:t>份，每份具有同等的法律效力。</w:t>
      </w:r>
    </w:p>
    <w:p w14:paraId="2BEC5603">
      <w:pPr>
        <w:pStyle w:val="2"/>
      </w:pPr>
      <w:bookmarkStart w:id="126" w:name="_Toc65162019"/>
      <w:r>
        <w:t>二十、其他事项</w:t>
      </w:r>
      <w:bookmarkEnd w:id="126"/>
    </w:p>
    <w:p w14:paraId="24D912BC">
      <w:pPr>
        <w:spacing w:line="360" w:lineRule="auto"/>
        <w:ind w:firstLine="480" w:firstLineChars="200"/>
        <w:rPr>
          <w:rFonts w:ascii="宋体" w:hAnsi="宋体"/>
          <w:sz w:val="24"/>
        </w:rPr>
      </w:pPr>
      <w:r>
        <w:rPr>
          <w:rFonts w:ascii="宋体" w:hAnsi="宋体"/>
          <w:sz w:val="24"/>
        </w:rPr>
        <w:t>本协议未尽事宜，当事人依据基金合同、有关法律法规等规定协商办理。</w:t>
      </w:r>
    </w:p>
    <w:p w14:paraId="3AAE3493">
      <w:pPr>
        <w:pStyle w:val="2"/>
      </w:pPr>
      <w:bookmarkStart w:id="127" w:name="_Toc65162020"/>
      <w:bookmarkStart w:id="128" w:name="_Toc22454484"/>
      <w:bookmarkStart w:id="129" w:name="_Toc523830014"/>
      <w:r>
        <w:t>二十一、基金托管协议的签订</w:t>
      </w:r>
      <w:bookmarkEnd w:id="127"/>
      <w:bookmarkEnd w:id="128"/>
      <w:bookmarkEnd w:id="129"/>
    </w:p>
    <w:p w14:paraId="4BE6DEDB">
      <w:pPr>
        <w:spacing w:line="360" w:lineRule="auto"/>
        <w:rPr>
          <w:sz w:val="24"/>
        </w:rPr>
        <w:sectPr>
          <w:footerReference r:id="rId8" w:type="first"/>
          <w:headerReference r:id="rId6" w:type="default"/>
          <w:footerReference r:id="rId7" w:type="default"/>
          <w:pgSz w:w="11906" w:h="16838"/>
          <w:pgMar w:top="1440" w:right="1797" w:bottom="1440" w:left="1797" w:header="851" w:footer="992" w:gutter="0"/>
          <w:pgNumType w:start="1"/>
          <w:cols w:space="720" w:num="1"/>
          <w:titlePg/>
          <w:docGrid w:type="linesAndChars" w:linePitch="312" w:charSpace="0"/>
        </w:sectPr>
      </w:pPr>
    </w:p>
    <w:p w14:paraId="5D6A9F91">
      <w:pPr>
        <w:spacing w:line="360" w:lineRule="auto"/>
        <w:rPr>
          <w:sz w:val="24"/>
        </w:rPr>
      </w:pPr>
      <w:r>
        <w:rPr>
          <w:sz w:val="24"/>
        </w:rPr>
        <w:br w:type="page"/>
      </w:r>
      <w:r>
        <w:rPr>
          <w:sz w:val="24"/>
        </w:rPr>
        <w:t>（本页无正文，为《</w:t>
      </w:r>
      <w:r>
        <w:rPr>
          <w:rFonts w:hint="eastAsia"/>
          <w:sz w:val="24"/>
          <w:lang w:eastAsia="zh-CN"/>
        </w:rPr>
        <w:t>汇添富中证家电龙头交易型开放式指数证券投资基金</w:t>
      </w:r>
      <w:r>
        <w:rPr>
          <w:sz w:val="24"/>
        </w:rPr>
        <w:t>托管协议》的签署页）</w:t>
      </w:r>
    </w:p>
    <w:p w14:paraId="4022FECF">
      <w:pPr>
        <w:spacing w:line="360" w:lineRule="auto"/>
        <w:ind w:firstLine="480" w:firstLineChars="200"/>
        <w:rPr>
          <w:sz w:val="24"/>
        </w:rPr>
      </w:pPr>
    </w:p>
    <w:p w14:paraId="192FFA3E">
      <w:pPr>
        <w:spacing w:line="360" w:lineRule="auto"/>
        <w:ind w:firstLine="480" w:firstLineChars="200"/>
        <w:rPr>
          <w:sz w:val="24"/>
        </w:rPr>
      </w:pPr>
    </w:p>
    <w:p w14:paraId="351F0D8A">
      <w:pPr>
        <w:spacing w:line="360" w:lineRule="auto"/>
        <w:ind w:firstLine="480" w:firstLineChars="200"/>
        <w:rPr>
          <w:sz w:val="24"/>
        </w:rPr>
      </w:pPr>
      <w:r>
        <w:rPr>
          <w:sz w:val="24"/>
        </w:rPr>
        <w:t>基金管理人：汇添富基金管理股份有限公司（盖章）</w:t>
      </w:r>
    </w:p>
    <w:p w14:paraId="223E0150">
      <w:pPr>
        <w:spacing w:line="360" w:lineRule="auto"/>
        <w:ind w:firstLine="480" w:firstLineChars="200"/>
        <w:rPr>
          <w:sz w:val="24"/>
        </w:rPr>
      </w:pPr>
    </w:p>
    <w:p w14:paraId="4B59D71B">
      <w:pPr>
        <w:spacing w:line="360" w:lineRule="auto"/>
        <w:ind w:firstLine="480" w:firstLineChars="200"/>
        <w:rPr>
          <w:sz w:val="24"/>
        </w:rPr>
      </w:pPr>
    </w:p>
    <w:p w14:paraId="22C78C30">
      <w:pPr>
        <w:spacing w:line="360" w:lineRule="auto"/>
        <w:ind w:firstLine="480" w:firstLineChars="200"/>
        <w:rPr>
          <w:sz w:val="24"/>
        </w:rPr>
      </w:pPr>
    </w:p>
    <w:p w14:paraId="6A5DBD9A">
      <w:pPr>
        <w:spacing w:line="360" w:lineRule="auto"/>
        <w:ind w:firstLine="480" w:firstLineChars="200"/>
        <w:rPr>
          <w:sz w:val="24"/>
        </w:rPr>
      </w:pPr>
    </w:p>
    <w:p w14:paraId="14355A5C">
      <w:pPr>
        <w:spacing w:line="360" w:lineRule="auto"/>
        <w:ind w:firstLine="480" w:firstLineChars="200"/>
        <w:rPr>
          <w:sz w:val="24"/>
        </w:rPr>
      </w:pPr>
    </w:p>
    <w:p w14:paraId="270895F3">
      <w:pPr>
        <w:spacing w:line="360" w:lineRule="auto"/>
        <w:ind w:firstLine="480" w:firstLineChars="200"/>
        <w:rPr>
          <w:sz w:val="24"/>
        </w:rPr>
      </w:pPr>
      <w:r>
        <w:rPr>
          <w:sz w:val="24"/>
        </w:rPr>
        <w:t>法定代表人或授权代表（签字或盖章）：</w:t>
      </w:r>
    </w:p>
    <w:p w14:paraId="1CBD6FDD">
      <w:pPr>
        <w:spacing w:line="360" w:lineRule="auto"/>
        <w:ind w:firstLine="480" w:firstLineChars="200"/>
        <w:rPr>
          <w:sz w:val="24"/>
        </w:rPr>
      </w:pPr>
    </w:p>
    <w:p w14:paraId="759DEEB7">
      <w:pPr>
        <w:spacing w:line="360" w:lineRule="auto"/>
        <w:ind w:firstLine="480" w:firstLineChars="200"/>
        <w:rPr>
          <w:sz w:val="24"/>
        </w:rPr>
      </w:pPr>
    </w:p>
    <w:p w14:paraId="34348425">
      <w:pPr>
        <w:spacing w:line="360" w:lineRule="auto"/>
        <w:ind w:firstLine="480" w:firstLineChars="200"/>
        <w:rPr>
          <w:sz w:val="24"/>
        </w:rPr>
      </w:pPr>
    </w:p>
    <w:p w14:paraId="17C0D163">
      <w:pPr>
        <w:spacing w:line="360" w:lineRule="auto"/>
        <w:ind w:firstLine="480" w:firstLineChars="200"/>
        <w:rPr>
          <w:sz w:val="24"/>
        </w:rPr>
      </w:pPr>
    </w:p>
    <w:p w14:paraId="03FCD2DA">
      <w:pPr>
        <w:spacing w:line="360" w:lineRule="auto"/>
        <w:ind w:firstLine="480" w:firstLineChars="200"/>
        <w:rPr>
          <w:sz w:val="24"/>
        </w:rPr>
      </w:pPr>
    </w:p>
    <w:p w14:paraId="51BED198">
      <w:pPr>
        <w:spacing w:line="360" w:lineRule="auto"/>
        <w:ind w:firstLine="480" w:firstLineChars="200"/>
        <w:rPr>
          <w:sz w:val="24"/>
        </w:rPr>
      </w:pPr>
    </w:p>
    <w:p w14:paraId="16FD7251">
      <w:pPr>
        <w:spacing w:line="360" w:lineRule="auto"/>
        <w:ind w:firstLine="480" w:firstLineChars="200"/>
        <w:rPr>
          <w:sz w:val="24"/>
        </w:rPr>
      </w:pPr>
      <w:r>
        <w:rPr>
          <w:sz w:val="24"/>
        </w:rPr>
        <w:t>基金托管人：</w:t>
      </w:r>
      <w:r>
        <w:rPr>
          <w:rFonts w:hint="eastAsia"/>
          <w:sz w:val="24"/>
          <w:lang w:eastAsia="zh-CN"/>
        </w:rPr>
        <w:t>国金证券股份有限公司</w:t>
      </w:r>
      <w:r>
        <w:rPr>
          <w:sz w:val="24"/>
        </w:rPr>
        <w:t>（盖章）</w:t>
      </w:r>
    </w:p>
    <w:p w14:paraId="57B609F7">
      <w:pPr>
        <w:spacing w:line="360" w:lineRule="auto"/>
        <w:ind w:firstLine="480" w:firstLineChars="200"/>
        <w:rPr>
          <w:sz w:val="24"/>
        </w:rPr>
      </w:pPr>
    </w:p>
    <w:p w14:paraId="6B61F350">
      <w:pPr>
        <w:spacing w:line="360" w:lineRule="auto"/>
        <w:ind w:firstLine="480" w:firstLineChars="200"/>
        <w:rPr>
          <w:sz w:val="24"/>
        </w:rPr>
      </w:pPr>
    </w:p>
    <w:p w14:paraId="723D6816">
      <w:pPr>
        <w:spacing w:line="360" w:lineRule="auto"/>
        <w:ind w:firstLine="480" w:firstLineChars="200"/>
        <w:rPr>
          <w:sz w:val="24"/>
        </w:rPr>
      </w:pPr>
    </w:p>
    <w:p w14:paraId="151E80E3">
      <w:pPr>
        <w:spacing w:line="360" w:lineRule="auto"/>
        <w:ind w:firstLine="480" w:firstLineChars="200"/>
        <w:rPr>
          <w:sz w:val="24"/>
        </w:rPr>
      </w:pPr>
    </w:p>
    <w:p w14:paraId="248A745B">
      <w:pPr>
        <w:spacing w:line="360" w:lineRule="auto"/>
        <w:ind w:firstLine="480" w:firstLineChars="200"/>
        <w:rPr>
          <w:sz w:val="24"/>
        </w:rPr>
      </w:pPr>
    </w:p>
    <w:p w14:paraId="1C8A340E">
      <w:pPr>
        <w:spacing w:line="360" w:lineRule="auto"/>
        <w:ind w:firstLine="480" w:firstLineChars="200"/>
        <w:rPr>
          <w:sz w:val="24"/>
        </w:rPr>
      </w:pPr>
      <w:r>
        <w:rPr>
          <w:sz w:val="24"/>
        </w:rPr>
        <w:t>法定代表人或授权代表（签字或盖章）：</w:t>
      </w:r>
    </w:p>
    <w:p w14:paraId="630B290F">
      <w:pPr>
        <w:spacing w:line="360" w:lineRule="auto"/>
        <w:ind w:firstLine="480" w:firstLineChars="200"/>
        <w:rPr>
          <w:sz w:val="24"/>
        </w:rPr>
      </w:pPr>
    </w:p>
    <w:p w14:paraId="1B1ED202">
      <w:pPr>
        <w:spacing w:line="360" w:lineRule="auto"/>
        <w:ind w:firstLine="480" w:firstLineChars="200"/>
        <w:rPr>
          <w:sz w:val="24"/>
        </w:rPr>
      </w:pPr>
    </w:p>
    <w:p w14:paraId="576D9847">
      <w:pPr>
        <w:spacing w:line="360" w:lineRule="auto"/>
        <w:ind w:firstLine="480" w:firstLineChars="200"/>
        <w:rPr>
          <w:sz w:val="24"/>
        </w:rPr>
      </w:pPr>
    </w:p>
    <w:p w14:paraId="28FB91DC">
      <w:pPr>
        <w:spacing w:line="360" w:lineRule="auto"/>
        <w:ind w:firstLine="480" w:firstLineChars="200"/>
        <w:rPr>
          <w:sz w:val="24"/>
        </w:rPr>
      </w:pPr>
      <w:r>
        <w:rPr>
          <w:sz w:val="24"/>
        </w:rPr>
        <w:t>签订地点：</w:t>
      </w:r>
    </w:p>
    <w:p w14:paraId="6BAEDB2D">
      <w:pPr>
        <w:spacing w:line="360" w:lineRule="auto"/>
        <w:ind w:firstLine="500" w:firstLineChars="250"/>
        <w:rPr>
          <w:sz w:val="24"/>
        </w:rPr>
      </w:pPr>
      <w: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693420</wp:posOffset>
                </wp:positionV>
                <wp:extent cx="800100" cy="495300"/>
                <wp:effectExtent l="4445" t="4445" r="14605" b="14605"/>
                <wp:wrapNone/>
                <wp:docPr id="1" name="矩形 1"/>
                <wp:cNvGraphicFramePr/>
                <a:graphic xmlns:a="http://schemas.openxmlformats.org/drawingml/2006/main">
                  <a:graphicData uri="http://schemas.microsoft.com/office/word/2010/wordprocessingShape">
                    <wps:wsp>
                      <wps:cNvSpPr/>
                      <wps:spPr bwMode="auto">
                        <a:xfrm>
                          <a:off x="0" y="0"/>
                          <a:ext cx="800100" cy="495300"/>
                        </a:xfrm>
                        <a:prstGeom prst="rect">
                          <a:avLst/>
                        </a:prstGeom>
                        <a:solidFill>
                          <a:srgbClr val="FFFFFF"/>
                        </a:solidFill>
                        <a:ln>
                          <a:solidFill>
                            <a:srgbClr val="FFFFFF"/>
                          </a:solidFill>
                        </a:ln>
                        <a:effectLst/>
                      </wps:spPr>
                      <wps:txbx>
                        <w:txbxContent>
                          <w:p w14:paraId="03C5E63C"/>
                        </w:txbxContent>
                      </wps:txbx>
                      <wps:bodyPr wrap="square" upright="1"/>
                    </wps:wsp>
                  </a:graphicData>
                </a:graphic>
              </wp:anchor>
            </w:drawing>
          </mc:Choice>
          <mc:Fallback>
            <w:pict>
              <v:rect id="_x0000_s1026" o:spid="_x0000_s1026" o:spt="1" style="position:absolute;left:0pt;margin-left:180pt;margin-top:54.6pt;height:39pt;width:63pt;z-index:251659264;mso-width-relative:page;mso-height-relative:page;" fillcolor="#FFFFFF" filled="t" stroked="t" coordsize="21600,21600" o:gfxdata="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XY1+jXAAAACwEAAA8AAAAAAAAAAQAgAAAAIgAAAGRycy9k&#10;b3ducmV2LnhtbFBLAQIUABQAAAAIAIdO4kC3hhrtygEAALwDAAAOAAAAAAAAAAEAIAAAACYBAABk&#10;cnMvZTJvRG9jLnhtbFBLBQYAAAAABgAGAFkBAABiBQAAAAA=&#10;">
                <v:fill on="t" focussize="0,0"/>
                <v:stroke color="#FFFFFF" joinstyle="round"/>
                <v:imagedata o:title=""/>
                <o:lock v:ext="edit" aspectratio="f"/>
                <v:textbox>
                  <w:txbxContent>
                    <w:p w14:paraId="03C5E63C"/>
                  </w:txbxContent>
                </v:textbox>
              </v:rect>
            </w:pict>
          </mc:Fallback>
        </mc:AlternateContent>
      </w:r>
      <w:r>
        <w:rPr>
          <w:sz w:val="24"/>
        </w:rPr>
        <w:t>签订日期：      年   月   日</w:t>
      </w:r>
    </w:p>
    <w:sectPr>
      <w:headerReference r:id="rId9" w:type="default"/>
      <w:type w:val="continuous"/>
      <w:pgSz w:w="11906" w:h="16838"/>
      <w:pgMar w:top="1440" w:right="1797" w:bottom="1440" w:left="1797"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34AFE">
    <w:pPr>
      <w:pStyle w:val="23"/>
      <w:snapToGrid/>
      <w:rPr>
        <w:rStyle w:val="40"/>
      </w:rPr>
    </w:pPr>
    <w:r>
      <w:rPr>
        <w:rStyle w:val="40"/>
      </w:rPr>
      <w:fldChar w:fldCharType="begin"/>
    </w:r>
    <w:r>
      <w:rPr>
        <w:rStyle w:val="40"/>
      </w:rPr>
      <w:instrText xml:space="preserve">PAGE  </w:instrText>
    </w:r>
    <w:r>
      <w:rPr>
        <w:rStyle w:val="40"/>
      </w:rPr>
      <w:fldChar w:fldCharType="end"/>
    </w:r>
  </w:p>
  <w:p w14:paraId="4F3AD313">
    <w:pPr>
      <w:pStyle w:val="23"/>
      <w:snapToGri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A586">
    <w:pPr>
      <w:pStyle w:val="23"/>
      <w:snapToGri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BE61">
    <w:pPr>
      <w:pStyle w:val="23"/>
      <w:snapToGrid/>
      <w:jc w:val="center"/>
    </w:pPr>
    <w:r>
      <w:rPr>
        <w:rStyle w:val="40"/>
      </w:rPr>
      <w:fldChar w:fldCharType="begin"/>
    </w:r>
    <w:r>
      <w:rPr>
        <w:rStyle w:val="40"/>
      </w:rPr>
      <w:instrText xml:space="preserve">PAGE  </w:instrText>
    </w:r>
    <w:r>
      <w:rPr>
        <w:rStyle w:val="40"/>
      </w:rPr>
      <w:fldChar w:fldCharType="separate"/>
    </w:r>
    <w:r>
      <w:rPr>
        <w:rStyle w:val="40"/>
      </w:rPr>
      <w:t>17</w:t>
    </w:r>
    <w:r>
      <w:rPr>
        <w:rStyle w:val="4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2683">
    <w:pPr>
      <w:pStyle w:val="23"/>
      <w:snapToGrid/>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D97B">
    <w:pPr>
      <w:pStyle w:val="24"/>
      <w:snapToGrid/>
      <w:jc w:val="left"/>
    </w:pPr>
    <w:r>
      <w:rPr>
        <w:rFonts w:hint="eastAsia" w:ascii="宋体" w:hAnsi="宋体"/>
        <w:szCs w:val="21"/>
        <w:lang w:eastAsia="zh-CN"/>
      </w:rPr>
      <w:t>汇添富中证家电龙头交易型开放式指数证券投资基金</w:t>
    </w:r>
    <w:r>
      <w:t xml:space="preserve">                 </w:t>
    </w:r>
    <w:r>
      <w:rPr>
        <w:rFonts w:hint="eastAsia"/>
        <w:lang w:val="en-US" w:eastAsia="zh-CN"/>
      </w:rPr>
      <w:t xml:space="preserve">   </w:t>
    </w:r>
    <w:r>
      <w:t xml:space="preserve">   </w:t>
    </w:r>
    <w:r>
      <w:rPr>
        <w:rFonts w:hint="eastAsia"/>
      </w:rPr>
      <w:t xml:space="preserve">   </w:t>
    </w:r>
    <w:r>
      <w:t xml:space="preserve">    </w:t>
    </w:r>
    <w:r>
      <w:rPr>
        <w:rFonts w:hint="eastAsia"/>
        <w:lang w:val="en-US" w:eastAsia="zh-CN"/>
      </w:rPr>
      <w:t xml:space="preserve">       </w:t>
    </w: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2D7A5">
    <w:pPr>
      <w:pStyle w:val="24"/>
      <w:snapToGrid/>
      <w:jc w:val="left"/>
    </w:pPr>
    <w:r>
      <w:rPr>
        <w:rFonts w:hint="eastAsia" w:ascii="宋体" w:hAnsi="宋体"/>
        <w:szCs w:val="21"/>
        <w:lang w:eastAsia="zh-CN"/>
      </w:rPr>
      <w:t>汇添富中证家电龙头交易型开放式指数证券投资基金</w:t>
    </w:r>
    <w:r>
      <w:t xml:space="preserve">                       </w:t>
    </w:r>
    <w:r>
      <w:rPr>
        <w:rFonts w:hint="eastAsia"/>
      </w:rPr>
      <w:t xml:space="preserve">      </w:t>
    </w:r>
    <w:r>
      <w:rPr>
        <w:rFonts w:hint="eastAsia"/>
        <w:lang w:val="en-US" w:eastAsia="zh-CN"/>
      </w:rPr>
      <w:t xml:space="preserve">        </w:t>
    </w:r>
    <w: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8F515">
    <w:pPr>
      <w:pStyle w:val="24"/>
      <w:snapToGrid/>
      <w:jc w:val="left"/>
    </w:pPr>
    <w:r>
      <w:rPr>
        <w:rFonts w:hint="eastAsia" w:ascii="宋体" w:hAnsi="宋体"/>
        <w:szCs w:val="21"/>
        <w:lang w:eastAsia="zh-CN"/>
      </w:rPr>
      <w:t>汇添富中证家电龙头交易型开放式指数证券投资基金</w:t>
    </w:r>
    <w:r>
      <w:t xml:space="preserve">                    </w:t>
    </w:r>
    <w:r>
      <w:rPr>
        <w:rFonts w:hint="eastAsia"/>
      </w:rPr>
      <w:t xml:space="preserve">    </w:t>
    </w:r>
    <w:r>
      <w:rPr>
        <w:rFonts w:hint="eastAsia"/>
        <w:lang w:val="en-US" w:eastAsia="zh-CN"/>
      </w:rPr>
      <w:t xml:space="preserve">    </w:t>
    </w:r>
    <w:r>
      <w:t xml:space="preserve">   </w:t>
    </w:r>
    <w:r>
      <w:rPr>
        <w:rFonts w:hint="eastAsia"/>
      </w:rPr>
      <w:t xml:space="preserve">      </w:t>
    </w:r>
    <w: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B7A70"/>
    <w:multiLevelType w:val="multilevel"/>
    <w:tmpl w:val="781B7A70"/>
    <w:lvl w:ilvl="0" w:tentative="0">
      <w:start w:val="1"/>
      <w:numFmt w:val="decimal"/>
      <w:pStyle w:val="209"/>
      <w:lvlText w:val="(%1)"/>
      <w:lvlJc w:val="left"/>
      <w:pPr>
        <w:tabs>
          <w:tab w:val="left" w:pos="1941"/>
        </w:tabs>
        <w:ind w:left="1941" w:hanging="681"/>
      </w:pPr>
      <w:rPr>
        <w:rFonts w:ascii="Arial" w:hAnsi="Arial"/>
        <w:b w:val="0"/>
        <w:i w:val="0"/>
        <w:sz w:val="20"/>
      </w:rPr>
    </w:lvl>
    <w:lvl w:ilvl="1" w:tentative="0">
      <w:start w:val="1"/>
      <w:numFmt w:val="lowerLetter"/>
      <w:lvlText w:val="%2."/>
      <w:lvlJc w:val="left"/>
      <w:pPr>
        <w:tabs>
          <w:tab w:val="left" w:pos="1620"/>
        </w:tabs>
        <w:ind w:left="1620" w:hanging="360"/>
      </w:pPr>
    </w:lvl>
    <w:lvl w:ilvl="2" w:tentative="0">
      <w:start w:val="1"/>
      <w:numFmt w:val="lowerRoman"/>
      <w:lvlText w:val="%3."/>
      <w:lvlJc w:val="right"/>
      <w:pPr>
        <w:tabs>
          <w:tab w:val="left" w:pos="2340"/>
        </w:tabs>
        <w:ind w:left="2340" w:hanging="180"/>
      </w:pPr>
    </w:lvl>
    <w:lvl w:ilvl="3" w:tentative="0">
      <w:start w:val="1"/>
      <w:numFmt w:val="decimal"/>
      <w:lvlText w:val="%4."/>
      <w:lvlJc w:val="left"/>
      <w:pPr>
        <w:tabs>
          <w:tab w:val="left" w:pos="3060"/>
        </w:tabs>
        <w:ind w:left="3060" w:hanging="360"/>
      </w:pPr>
    </w:lvl>
    <w:lvl w:ilvl="4" w:tentative="0">
      <w:start w:val="1"/>
      <w:numFmt w:val="lowerLetter"/>
      <w:lvlText w:val="%5."/>
      <w:lvlJc w:val="left"/>
      <w:pPr>
        <w:tabs>
          <w:tab w:val="left" w:pos="3780"/>
        </w:tabs>
        <w:ind w:left="3780" w:hanging="360"/>
      </w:pPr>
    </w:lvl>
    <w:lvl w:ilvl="5" w:tentative="0">
      <w:start w:val="1"/>
      <w:numFmt w:val="lowerRoman"/>
      <w:lvlText w:val="%6."/>
      <w:lvlJc w:val="right"/>
      <w:pPr>
        <w:tabs>
          <w:tab w:val="left" w:pos="4500"/>
        </w:tabs>
        <w:ind w:left="4500" w:hanging="180"/>
      </w:pPr>
    </w:lvl>
    <w:lvl w:ilvl="6" w:tentative="0">
      <w:start w:val="1"/>
      <w:numFmt w:val="decimal"/>
      <w:lvlText w:val="%7."/>
      <w:lvlJc w:val="left"/>
      <w:pPr>
        <w:tabs>
          <w:tab w:val="left" w:pos="5220"/>
        </w:tabs>
        <w:ind w:left="5220" w:hanging="360"/>
      </w:pPr>
    </w:lvl>
    <w:lvl w:ilvl="7" w:tentative="0">
      <w:start w:val="1"/>
      <w:numFmt w:val="lowerLetter"/>
      <w:lvlText w:val="%8."/>
      <w:lvlJc w:val="left"/>
      <w:pPr>
        <w:tabs>
          <w:tab w:val="left" w:pos="5940"/>
        </w:tabs>
        <w:ind w:left="5940" w:hanging="360"/>
      </w:pPr>
    </w:lvl>
    <w:lvl w:ilvl="8" w:tentative="0">
      <w:start w:val="1"/>
      <w:numFmt w:val="lowerRoman"/>
      <w:lvlText w:val="%9."/>
      <w:lvlJc w:val="right"/>
      <w:pPr>
        <w:tabs>
          <w:tab w:val="left"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noPunctuationKerning w:val="1"/>
  <w:characterSpacingControl w:val="compressPunctuation"/>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C0"/>
    <w:rsid w:val="000045A5"/>
    <w:rsid w:val="00005E62"/>
    <w:rsid w:val="00021538"/>
    <w:rsid w:val="000424B6"/>
    <w:rsid w:val="00043A8A"/>
    <w:rsid w:val="0005487D"/>
    <w:rsid w:val="000A44B2"/>
    <w:rsid w:val="000A78DA"/>
    <w:rsid w:val="000D42BB"/>
    <w:rsid w:val="00101842"/>
    <w:rsid w:val="00105377"/>
    <w:rsid w:val="001203EB"/>
    <w:rsid w:val="00124069"/>
    <w:rsid w:val="001419ED"/>
    <w:rsid w:val="00146068"/>
    <w:rsid w:val="00157C89"/>
    <w:rsid w:val="0017496A"/>
    <w:rsid w:val="00181C97"/>
    <w:rsid w:val="001932ED"/>
    <w:rsid w:val="00194324"/>
    <w:rsid w:val="001A6956"/>
    <w:rsid w:val="001D04B2"/>
    <w:rsid w:val="00206EC9"/>
    <w:rsid w:val="002B3F71"/>
    <w:rsid w:val="002C0E7C"/>
    <w:rsid w:val="002E3682"/>
    <w:rsid w:val="002F36A6"/>
    <w:rsid w:val="002F6749"/>
    <w:rsid w:val="00300811"/>
    <w:rsid w:val="0030438C"/>
    <w:rsid w:val="0030536A"/>
    <w:rsid w:val="0031320B"/>
    <w:rsid w:val="00324023"/>
    <w:rsid w:val="003241F2"/>
    <w:rsid w:val="00343B2E"/>
    <w:rsid w:val="00346A7D"/>
    <w:rsid w:val="003528AB"/>
    <w:rsid w:val="00364926"/>
    <w:rsid w:val="00376254"/>
    <w:rsid w:val="003D2B8F"/>
    <w:rsid w:val="003D549F"/>
    <w:rsid w:val="003D5CC8"/>
    <w:rsid w:val="003E2BC4"/>
    <w:rsid w:val="00410632"/>
    <w:rsid w:val="00422A05"/>
    <w:rsid w:val="00427554"/>
    <w:rsid w:val="00443606"/>
    <w:rsid w:val="00466CCF"/>
    <w:rsid w:val="0047596B"/>
    <w:rsid w:val="0047756B"/>
    <w:rsid w:val="0048797A"/>
    <w:rsid w:val="004A1F4D"/>
    <w:rsid w:val="004D1450"/>
    <w:rsid w:val="004E5C4F"/>
    <w:rsid w:val="00506F9C"/>
    <w:rsid w:val="00523C68"/>
    <w:rsid w:val="005468E8"/>
    <w:rsid w:val="00561257"/>
    <w:rsid w:val="005704A3"/>
    <w:rsid w:val="005800EB"/>
    <w:rsid w:val="0058182D"/>
    <w:rsid w:val="00587A35"/>
    <w:rsid w:val="005A6FAF"/>
    <w:rsid w:val="005D1F0A"/>
    <w:rsid w:val="005D220B"/>
    <w:rsid w:val="005E0D77"/>
    <w:rsid w:val="005F6E0B"/>
    <w:rsid w:val="00605AC0"/>
    <w:rsid w:val="0066584E"/>
    <w:rsid w:val="00673E15"/>
    <w:rsid w:val="00675945"/>
    <w:rsid w:val="00686CC7"/>
    <w:rsid w:val="00696A62"/>
    <w:rsid w:val="006D13B1"/>
    <w:rsid w:val="006E5B2D"/>
    <w:rsid w:val="00710D13"/>
    <w:rsid w:val="00713BAE"/>
    <w:rsid w:val="00714FE3"/>
    <w:rsid w:val="007628BB"/>
    <w:rsid w:val="00762B17"/>
    <w:rsid w:val="007A771E"/>
    <w:rsid w:val="007D506E"/>
    <w:rsid w:val="007E7B62"/>
    <w:rsid w:val="00801ABF"/>
    <w:rsid w:val="00804704"/>
    <w:rsid w:val="00836E23"/>
    <w:rsid w:val="0085006A"/>
    <w:rsid w:val="00871FF0"/>
    <w:rsid w:val="008763D6"/>
    <w:rsid w:val="008763FC"/>
    <w:rsid w:val="00882905"/>
    <w:rsid w:val="008A30AE"/>
    <w:rsid w:val="008A5516"/>
    <w:rsid w:val="008B0250"/>
    <w:rsid w:val="008C0EAF"/>
    <w:rsid w:val="008D0C2A"/>
    <w:rsid w:val="008F2FA7"/>
    <w:rsid w:val="0091316B"/>
    <w:rsid w:val="00942A10"/>
    <w:rsid w:val="00965670"/>
    <w:rsid w:val="00980A1C"/>
    <w:rsid w:val="00995DF4"/>
    <w:rsid w:val="009C0840"/>
    <w:rsid w:val="009C471E"/>
    <w:rsid w:val="009C5623"/>
    <w:rsid w:val="009D2DBF"/>
    <w:rsid w:val="00A0077D"/>
    <w:rsid w:val="00A11E70"/>
    <w:rsid w:val="00A142E0"/>
    <w:rsid w:val="00A1641B"/>
    <w:rsid w:val="00A27D8C"/>
    <w:rsid w:val="00A3324F"/>
    <w:rsid w:val="00A62EE5"/>
    <w:rsid w:val="00A914DB"/>
    <w:rsid w:val="00AD1C9A"/>
    <w:rsid w:val="00B252EE"/>
    <w:rsid w:val="00B4521A"/>
    <w:rsid w:val="00B5524E"/>
    <w:rsid w:val="00BC483D"/>
    <w:rsid w:val="00BC7CA6"/>
    <w:rsid w:val="00BD0A81"/>
    <w:rsid w:val="00BF6262"/>
    <w:rsid w:val="00C24BED"/>
    <w:rsid w:val="00CB6690"/>
    <w:rsid w:val="00CC6315"/>
    <w:rsid w:val="00CD28E0"/>
    <w:rsid w:val="00CD2F20"/>
    <w:rsid w:val="00CE3C9F"/>
    <w:rsid w:val="00D026DF"/>
    <w:rsid w:val="00D1747D"/>
    <w:rsid w:val="00D22F65"/>
    <w:rsid w:val="00D36584"/>
    <w:rsid w:val="00D51B8A"/>
    <w:rsid w:val="00D5465B"/>
    <w:rsid w:val="00D60122"/>
    <w:rsid w:val="00D604B2"/>
    <w:rsid w:val="00DB1F8B"/>
    <w:rsid w:val="00DC1E3F"/>
    <w:rsid w:val="00DE563E"/>
    <w:rsid w:val="00E24EBA"/>
    <w:rsid w:val="00E44B80"/>
    <w:rsid w:val="00E622CE"/>
    <w:rsid w:val="00E7336F"/>
    <w:rsid w:val="00E8002E"/>
    <w:rsid w:val="00E826B0"/>
    <w:rsid w:val="00E94ABF"/>
    <w:rsid w:val="00E9653E"/>
    <w:rsid w:val="00EB2796"/>
    <w:rsid w:val="00EB6CCB"/>
    <w:rsid w:val="00ED68C8"/>
    <w:rsid w:val="00EE3EFA"/>
    <w:rsid w:val="00F02BD5"/>
    <w:rsid w:val="00F156F4"/>
    <w:rsid w:val="00F37184"/>
    <w:rsid w:val="00F67BB8"/>
    <w:rsid w:val="00FB24AB"/>
    <w:rsid w:val="00FF13C1"/>
    <w:rsid w:val="018A1F80"/>
    <w:rsid w:val="01DE7CC9"/>
    <w:rsid w:val="02E73338"/>
    <w:rsid w:val="043C4306"/>
    <w:rsid w:val="08075C6C"/>
    <w:rsid w:val="0A335DE0"/>
    <w:rsid w:val="0CAE47CB"/>
    <w:rsid w:val="132D0F7E"/>
    <w:rsid w:val="1C0C7497"/>
    <w:rsid w:val="1E72068C"/>
    <w:rsid w:val="1FFB4459"/>
    <w:rsid w:val="20640690"/>
    <w:rsid w:val="210B047D"/>
    <w:rsid w:val="21C2721C"/>
    <w:rsid w:val="22AC3FEE"/>
    <w:rsid w:val="26F27A25"/>
    <w:rsid w:val="29DE48B6"/>
    <w:rsid w:val="2A490F7F"/>
    <w:rsid w:val="2C1F4126"/>
    <w:rsid w:val="33EF4B72"/>
    <w:rsid w:val="36197D56"/>
    <w:rsid w:val="38387879"/>
    <w:rsid w:val="3AB61214"/>
    <w:rsid w:val="3D693442"/>
    <w:rsid w:val="3E012CF5"/>
    <w:rsid w:val="43162517"/>
    <w:rsid w:val="43A179B8"/>
    <w:rsid w:val="43B33BC8"/>
    <w:rsid w:val="4B792BCF"/>
    <w:rsid w:val="4C05784D"/>
    <w:rsid w:val="4D916811"/>
    <w:rsid w:val="4DC24735"/>
    <w:rsid w:val="52670944"/>
    <w:rsid w:val="56CA77A3"/>
    <w:rsid w:val="56D202A6"/>
    <w:rsid w:val="66B608DB"/>
    <w:rsid w:val="6B5E2F71"/>
    <w:rsid w:val="6B5E3CF7"/>
    <w:rsid w:val="6E877BF8"/>
    <w:rsid w:val="6F3461A9"/>
    <w:rsid w:val="703F75BF"/>
    <w:rsid w:val="77FECCF5"/>
    <w:rsid w:val="79F0172A"/>
    <w:rsid w:val="7A4B1723"/>
    <w:rsid w:val="7C327EBB"/>
    <w:rsid w:val="7DEB5FFC"/>
    <w:rsid w:val="7EC54E52"/>
    <w:rsid w:val="7FA32E82"/>
    <w:rsid w:val="96EC96D4"/>
    <w:rsid w:val="BEF4A0EF"/>
    <w:rsid w:val="FB37EA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192"/>
    <w:qFormat/>
    <w:uiPriority w:val="0"/>
    <w:pPr>
      <w:keepNext/>
      <w:keepLines/>
      <w:spacing w:before="120" w:after="120" w:line="360" w:lineRule="auto"/>
      <w:outlineLvl w:val="0"/>
    </w:pPr>
    <w:rPr>
      <w:rFonts w:ascii="宋体"/>
      <w:b/>
      <w:color w:val="000000"/>
      <w:sz w:val="24"/>
    </w:rPr>
  </w:style>
  <w:style w:type="paragraph" w:styleId="3">
    <w:name w:val="heading 2"/>
    <w:basedOn w:val="1"/>
    <w:next w:val="1"/>
    <w:link w:val="193"/>
    <w:qFormat/>
    <w:uiPriority w:val="0"/>
    <w:pPr>
      <w:keepNext/>
      <w:keepLines/>
      <w:spacing w:before="120" w:after="120" w:line="360" w:lineRule="auto"/>
      <w:outlineLvl w:val="1"/>
    </w:pPr>
    <w:rPr>
      <w:rFonts w:ascii="宋体" w:hAnsi="Arial"/>
      <w:b/>
    </w:rPr>
  </w:style>
  <w:style w:type="paragraph" w:styleId="4">
    <w:name w:val="heading 3"/>
    <w:next w:val="1"/>
    <w:link w:val="46"/>
    <w:unhideWhenUsed/>
    <w:qFormat/>
    <w:uiPriority w:val="9"/>
    <w:pPr>
      <w:keepNext/>
      <w:keepLines/>
      <w:spacing w:before="320" w:after="200"/>
      <w:outlineLvl w:val="2"/>
    </w:pPr>
    <w:rPr>
      <w:rFonts w:ascii="Arial" w:hAnsi="Arial" w:eastAsia="宋体" w:cs="Arial"/>
      <w:sz w:val="30"/>
      <w:szCs w:val="30"/>
      <w:lang w:val="en-US" w:eastAsia="zh-CN" w:bidi="ar-SA"/>
    </w:rPr>
  </w:style>
  <w:style w:type="paragraph" w:styleId="5">
    <w:name w:val="heading 4"/>
    <w:next w:val="1"/>
    <w:link w:val="47"/>
    <w:unhideWhenUsed/>
    <w:qFormat/>
    <w:uiPriority w:val="9"/>
    <w:pPr>
      <w:keepNext/>
      <w:keepLines/>
      <w:spacing w:before="320" w:after="200"/>
      <w:outlineLvl w:val="3"/>
    </w:pPr>
    <w:rPr>
      <w:rFonts w:ascii="Arial" w:hAnsi="Arial" w:eastAsia="宋体" w:cs="Arial"/>
      <w:b/>
      <w:bCs/>
      <w:sz w:val="26"/>
      <w:szCs w:val="26"/>
      <w:lang w:val="en-US" w:eastAsia="zh-CN" w:bidi="ar-SA"/>
    </w:rPr>
  </w:style>
  <w:style w:type="paragraph" w:styleId="6">
    <w:name w:val="heading 5"/>
    <w:next w:val="1"/>
    <w:link w:val="48"/>
    <w:unhideWhenUsed/>
    <w:qFormat/>
    <w:uiPriority w:val="9"/>
    <w:pPr>
      <w:keepNext/>
      <w:keepLines/>
      <w:spacing w:before="320" w:after="200"/>
      <w:outlineLvl w:val="4"/>
    </w:pPr>
    <w:rPr>
      <w:rFonts w:ascii="Arial" w:hAnsi="Arial" w:eastAsia="宋体" w:cs="Arial"/>
      <w:b/>
      <w:bCs/>
      <w:sz w:val="24"/>
      <w:szCs w:val="24"/>
      <w:lang w:val="en-US" w:eastAsia="zh-CN" w:bidi="ar-SA"/>
    </w:rPr>
  </w:style>
  <w:style w:type="paragraph" w:styleId="7">
    <w:name w:val="heading 6"/>
    <w:next w:val="1"/>
    <w:link w:val="49"/>
    <w:unhideWhenUsed/>
    <w:qFormat/>
    <w:uiPriority w:val="9"/>
    <w:pPr>
      <w:keepNext/>
      <w:keepLines/>
      <w:spacing w:before="320" w:after="200"/>
      <w:outlineLvl w:val="5"/>
    </w:pPr>
    <w:rPr>
      <w:rFonts w:ascii="Arial" w:hAnsi="Arial" w:eastAsia="宋体" w:cs="Arial"/>
      <w:b/>
      <w:bCs/>
      <w:sz w:val="22"/>
      <w:szCs w:val="22"/>
      <w:lang w:val="en-US" w:eastAsia="zh-CN" w:bidi="ar-SA"/>
    </w:rPr>
  </w:style>
  <w:style w:type="paragraph" w:styleId="8">
    <w:name w:val="heading 7"/>
    <w:next w:val="1"/>
    <w:link w:val="50"/>
    <w:unhideWhenUsed/>
    <w:qFormat/>
    <w:uiPriority w:val="9"/>
    <w:pPr>
      <w:keepNext/>
      <w:keepLines/>
      <w:spacing w:before="320" w:after="200"/>
      <w:outlineLvl w:val="6"/>
    </w:pPr>
    <w:rPr>
      <w:rFonts w:ascii="Arial" w:hAnsi="Arial" w:eastAsia="宋体" w:cs="Arial"/>
      <w:b/>
      <w:bCs/>
      <w:i/>
      <w:iCs/>
      <w:sz w:val="22"/>
      <w:szCs w:val="22"/>
      <w:lang w:val="en-US" w:eastAsia="zh-CN" w:bidi="ar-SA"/>
    </w:rPr>
  </w:style>
  <w:style w:type="paragraph" w:styleId="9">
    <w:name w:val="heading 8"/>
    <w:next w:val="1"/>
    <w:link w:val="51"/>
    <w:unhideWhenUsed/>
    <w:qFormat/>
    <w:uiPriority w:val="9"/>
    <w:pPr>
      <w:keepNext/>
      <w:keepLines/>
      <w:spacing w:before="320" w:after="200"/>
      <w:outlineLvl w:val="7"/>
    </w:pPr>
    <w:rPr>
      <w:rFonts w:ascii="Arial" w:hAnsi="Arial" w:eastAsia="宋体" w:cs="Arial"/>
      <w:i/>
      <w:iCs/>
      <w:sz w:val="22"/>
      <w:szCs w:val="22"/>
      <w:lang w:val="en-US" w:eastAsia="zh-CN" w:bidi="ar-SA"/>
    </w:rPr>
  </w:style>
  <w:style w:type="paragraph" w:styleId="10">
    <w:name w:val="heading 9"/>
    <w:next w:val="1"/>
    <w:link w:val="52"/>
    <w:unhideWhenUsed/>
    <w:qFormat/>
    <w:uiPriority w:val="9"/>
    <w:pPr>
      <w:keepNext/>
      <w:keepLines/>
      <w:spacing w:before="320" w:after="200"/>
      <w:outlineLvl w:val="8"/>
    </w:pPr>
    <w:rPr>
      <w:rFonts w:ascii="Arial" w:hAnsi="Arial" w:eastAsia="宋体" w:cs="Arial"/>
      <w:i/>
      <w:iCs/>
      <w:sz w:val="21"/>
      <w:szCs w:val="21"/>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caption"/>
    <w:next w:val="1"/>
    <w:semiHidden/>
    <w:unhideWhenUsed/>
    <w:qFormat/>
    <w:uiPriority w:val="35"/>
    <w:pPr>
      <w:spacing w:line="276" w:lineRule="auto"/>
    </w:pPr>
    <w:rPr>
      <w:rFonts w:ascii="Times New Roman" w:hAnsi="Times New Roman" w:eastAsia="宋体" w:cs="Times New Roman"/>
      <w:b/>
      <w:bCs/>
      <w:color w:val="4F81BD"/>
      <w:sz w:val="18"/>
      <w:szCs w:val="18"/>
      <w:lang w:val="en-US" w:eastAsia="zh-CN" w:bidi="ar-SA"/>
    </w:rPr>
  </w:style>
  <w:style w:type="paragraph" w:styleId="13">
    <w:name w:val="Document Map"/>
    <w:basedOn w:val="1"/>
    <w:link w:val="194"/>
    <w:semiHidden/>
    <w:qFormat/>
    <w:uiPriority w:val="0"/>
    <w:pPr>
      <w:shd w:val="clear" w:color="000080" w:fill="000080"/>
    </w:pPr>
  </w:style>
  <w:style w:type="paragraph" w:styleId="14">
    <w:name w:val="annotation text"/>
    <w:basedOn w:val="1"/>
    <w:link w:val="195"/>
    <w:semiHidden/>
    <w:qFormat/>
    <w:uiPriority w:val="0"/>
  </w:style>
  <w:style w:type="paragraph" w:styleId="15">
    <w:name w:val="Body Text"/>
    <w:basedOn w:val="1"/>
    <w:link w:val="196"/>
    <w:qFormat/>
    <w:uiPriority w:val="0"/>
    <w:pPr>
      <w:tabs>
        <w:tab w:val="left" w:pos="3780"/>
      </w:tabs>
      <w:autoSpaceDE w:val="0"/>
      <w:autoSpaceDN w:val="0"/>
      <w:spacing w:line="360" w:lineRule="auto"/>
      <w:outlineLvl w:val="0"/>
    </w:pPr>
    <w:rPr>
      <w:rFonts w:ascii="宋体" w:hAnsi="宋体"/>
      <w:b/>
      <w:bCs/>
      <w:color w:val="FF0000"/>
      <w:sz w:val="24"/>
    </w:rPr>
  </w:style>
  <w:style w:type="paragraph" w:styleId="16">
    <w:name w:val="Body Text Indent"/>
    <w:basedOn w:val="1"/>
    <w:link w:val="197"/>
    <w:qFormat/>
    <w:uiPriority w:val="0"/>
    <w:pPr>
      <w:spacing w:line="360" w:lineRule="auto"/>
      <w:ind w:firstLine="420"/>
    </w:p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toc 8"/>
    <w:basedOn w:val="1"/>
    <w:next w:val="1"/>
    <w:semiHidden/>
    <w:qFormat/>
    <w:uiPriority w:val="0"/>
    <w:pPr>
      <w:ind w:left="2940" w:leftChars="1400"/>
    </w:pPr>
  </w:style>
  <w:style w:type="paragraph" w:styleId="20">
    <w:name w:val="Body Text Indent 2"/>
    <w:basedOn w:val="1"/>
    <w:link w:val="198"/>
    <w:qFormat/>
    <w:uiPriority w:val="0"/>
    <w:pPr>
      <w:tabs>
        <w:tab w:val="left" w:pos="1260"/>
      </w:tabs>
      <w:spacing w:line="360" w:lineRule="auto"/>
      <w:ind w:firstLine="480" w:firstLineChars="200"/>
    </w:pPr>
    <w:rPr>
      <w:rFonts w:ascii="宋体" w:hAnsi="宋体"/>
      <w:sz w:val="24"/>
    </w:rPr>
  </w:style>
  <w:style w:type="paragraph" w:styleId="21">
    <w:name w:val="endnote text"/>
    <w:link w:val="190"/>
    <w:semiHidden/>
    <w:unhideWhenUsed/>
    <w:qFormat/>
    <w:uiPriority w:val="99"/>
    <w:rPr>
      <w:rFonts w:ascii="Times New Roman" w:hAnsi="Times New Roman" w:eastAsia="宋体" w:cs="Times New Roman"/>
      <w:lang w:val="en-US" w:eastAsia="zh-CN" w:bidi="ar-SA"/>
    </w:rPr>
  </w:style>
  <w:style w:type="paragraph" w:styleId="22">
    <w:name w:val="Balloon Text"/>
    <w:basedOn w:val="1"/>
    <w:link w:val="199"/>
    <w:semiHidden/>
    <w:qFormat/>
    <w:uiPriority w:val="0"/>
    <w:rPr>
      <w:sz w:val="18"/>
      <w:szCs w:val="18"/>
    </w:rPr>
  </w:style>
  <w:style w:type="paragraph" w:styleId="23">
    <w:name w:val="footer"/>
    <w:basedOn w:val="1"/>
    <w:link w:val="200"/>
    <w:qFormat/>
    <w:uiPriority w:val="0"/>
    <w:pPr>
      <w:tabs>
        <w:tab w:val="center" w:pos="4153"/>
        <w:tab w:val="right" w:pos="8306"/>
      </w:tabs>
      <w:snapToGrid w:val="0"/>
    </w:pPr>
    <w:rPr>
      <w:sz w:val="18"/>
      <w:szCs w:val="18"/>
    </w:rPr>
  </w:style>
  <w:style w:type="paragraph" w:styleId="24">
    <w:name w:val="header"/>
    <w:basedOn w:val="1"/>
    <w:link w:val="201"/>
    <w:qFormat/>
    <w:uiPriority w:val="0"/>
    <w:pPr>
      <w:pBdr>
        <w:bottom w:val="single" w:color="000000"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right" w:leader="dot" w:pos="8455"/>
      </w:tabs>
      <w:spacing w:before="120" w:line="360" w:lineRule="auto"/>
      <w:ind w:firstLine="425"/>
    </w:pPr>
    <w:rPr>
      <w:b/>
      <w:caps/>
    </w:rPr>
  </w:style>
  <w:style w:type="paragraph" w:styleId="26">
    <w:name w:val="toc 4"/>
    <w:basedOn w:val="1"/>
    <w:next w:val="1"/>
    <w:semiHidden/>
    <w:qFormat/>
    <w:uiPriority w:val="0"/>
    <w:pPr>
      <w:ind w:left="1260" w:leftChars="600"/>
    </w:pPr>
  </w:style>
  <w:style w:type="paragraph" w:styleId="27">
    <w:name w:val="Subtitle"/>
    <w:link w:val="56"/>
    <w:qFormat/>
    <w:uiPriority w:val="11"/>
    <w:pPr>
      <w:spacing w:before="200" w:after="200"/>
    </w:pPr>
    <w:rPr>
      <w:rFonts w:ascii="Times New Roman" w:hAnsi="Times New Roman" w:eastAsia="宋体" w:cs="Times New Roman"/>
      <w:sz w:val="24"/>
      <w:szCs w:val="24"/>
      <w:lang w:val="en-US" w:eastAsia="zh-CN" w:bidi="ar-SA"/>
    </w:rPr>
  </w:style>
  <w:style w:type="paragraph" w:styleId="28">
    <w:name w:val="footnote text"/>
    <w:link w:val="189"/>
    <w:semiHidden/>
    <w:unhideWhenUsed/>
    <w:qFormat/>
    <w:uiPriority w:val="99"/>
    <w:pPr>
      <w:spacing w:after="40"/>
    </w:pPr>
    <w:rPr>
      <w:rFonts w:ascii="Times New Roman" w:hAnsi="Times New Roman" w:eastAsia="宋体" w:cs="Times New Roman"/>
      <w:sz w:val="18"/>
      <w:lang w:val="en-US" w:eastAsia="zh-CN" w:bidi="ar-SA"/>
    </w:rPr>
  </w:style>
  <w:style w:type="paragraph" w:styleId="29">
    <w:name w:val="toc 6"/>
    <w:basedOn w:val="1"/>
    <w:next w:val="1"/>
    <w:semiHidden/>
    <w:qFormat/>
    <w:uiPriority w:val="0"/>
    <w:pPr>
      <w:ind w:left="2100" w:leftChars="1000"/>
    </w:pPr>
  </w:style>
  <w:style w:type="paragraph" w:styleId="30">
    <w:name w:val="table of figures"/>
    <w:next w:val="1"/>
    <w:unhideWhenUsed/>
    <w:qFormat/>
    <w:uiPriority w:val="99"/>
    <w:rPr>
      <w:rFonts w:ascii="Times New Roman" w:hAnsi="Times New Roman" w:eastAsia="宋体" w:cs="Times New Roman"/>
      <w:lang w:val="en-US" w:eastAsia="zh-CN" w:bidi="ar-SA"/>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link w:val="202"/>
    <w:qFormat/>
    <w:uiPriority w:val="0"/>
    <w:pPr>
      <w:tabs>
        <w:tab w:val="left" w:pos="3780"/>
      </w:tabs>
      <w:autoSpaceDE w:val="0"/>
      <w:autoSpaceDN w:val="0"/>
      <w:spacing w:line="300" w:lineRule="auto"/>
      <w:outlineLvl w:val="0"/>
    </w:pPr>
    <w:rPr>
      <w:rFonts w:ascii="宋体" w:hAnsi="宋体"/>
      <w:b/>
      <w:bCs/>
      <w:sz w:val="24"/>
    </w:rPr>
  </w:style>
  <w:style w:type="paragraph" w:styleId="34">
    <w:name w:val="Title"/>
    <w:link w:val="55"/>
    <w:qFormat/>
    <w:uiPriority w:val="10"/>
    <w:pPr>
      <w:spacing w:before="300" w:after="200"/>
      <w:contextualSpacing/>
    </w:pPr>
    <w:rPr>
      <w:rFonts w:ascii="Times New Roman" w:hAnsi="Times New Roman" w:eastAsia="宋体" w:cs="Times New Roman"/>
      <w:sz w:val="48"/>
      <w:szCs w:val="48"/>
      <w:lang w:val="en-US" w:eastAsia="zh-CN" w:bidi="ar-SA"/>
    </w:rPr>
  </w:style>
  <w:style w:type="paragraph" w:styleId="35">
    <w:name w:val="annotation subject"/>
    <w:basedOn w:val="14"/>
    <w:next w:val="14"/>
    <w:link w:val="203"/>
    <w:semiHidden/>
    <w:qFormat/>
    <w:uiPriority w:val="0"/>
    <w:rPr>
      <w:b/>
      <w:bCs/>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unhideWhenUsed/>
    <w:qFormat/>
    <w:uiPriority w:val="99"/>
    <w:rPr>
      <w:vertAlign w:val="superscript"/>
    </w:rPr>
  </w:style>
  <w:style w:type="character" w:styleId="40">
    <w:name w:val="page number"/>
    <w:qFormat/>
    <w:uiPriority w:val="0"/>
  </w:style>
  <w:style w:type="character" w:styleId="41">
    <w:name w:val="Hyperlink"/>
    <w:qFormat/>
    <w:uiPriority w:val="0"/>
    <w:rPr>
      <w:color w:val="0000FF"/>
      <w:u w:val="single"/>
    </w:rPr>
  </w:style>
  <w:style w:type="character" w:styleId="42">
    <w:name w:val="annotation reference"/>
    <w:semiHidden/>
    <w:qFormat/>
    <w:uiPriority w:val="0"/>
    <w:rPr>
      <w:sz w:val="21"/>
    </w:rPr>
  </w:style>
  <w:style w:type="character" w:styleId="43">
    <w:name w:val="footnote reference"/>
    <w:unhideWhenUsed/>
    <w:qFormat/>
    <w:uiPriority w:val="99"/>
    <w:rPr>
      <w:vertAlign w:val="superscript"/>
    </w:rPr>
  </w:style>
  <w:style w:type="character" w:customStyle="1" w:styleId="44">
    <w:name w:val="Heading 1 Char"/>
    <w:qFormat/>
    <w:uiPriority w:val="9"/>
    <w:rPr>
      <w:rFonts w:ascii="Arial" w:hAnsi="Arial" w:cs="Arial"/>
      <w:sz w:val="40"/>
      <w:szCs w:val="40"/>
    </w:rPr>
  </w:style>
  <w:style w:type="character" w:customStyle="1" w:styleId="45">
    <w:name w:val="Heading 2 Char"/>
    <w:qFormat/>
    <w:uiPriority w:val="9"/>
    <w:rPr>
      <w:rFonts w:ascii="Arial" w:hAnsi="Arial" w:cs="Arial"/>
      <w:sz w:val="34"/>
    </w:rPr>
  </w:style>
  <w:style w:type="character" w:customStyle="1" w:styleId="46">
    <w:name w:val="标题 3 字符"/>
    <w:link w:val="4"/>
    <w:qFormat/>
    <w:uiPriority w:val="9"/>
    <w:rPr>
      <w:rFonts w:ascii="Arial" w:hAnsi="Arial" w:cs="Arial"/>
      <w:sz w:val="30"/>
      <w:szCs w:val="30"/>
    </w:rPr>
  </w:style>
  <w:style w:type="character" w:customStyle="1" w:styleId="47">
    <w:name w:val="标题 4 字符"/>
    <w:link w:val="5"/>
    <w:qFormat/>
    <w:uiPriority w:val="9"/>
    <w:rPr>
      <w:rFonts w:ascii="Arial" w:hAnsi="Arial" w:cs="Arial"/>
      <w:b/>
      <w:bCs/>
      <w:sz w:val="26"/>
      <w:szCs w:val="26"/>
    </w:rPr>
  </w:style>
  <w:style w:type="character" w:customStyle="1" w:styleId="48">
    <w:name w:val="标题 5 字符"/>
    <w:link w:val="6"/>
    <w:qFormat/>
    <w:uiPriority w:val="9"/>
    <w:rPr>
      <w:rFonts w:ascii="Arial" w:hAnsi="Arial" w:cs="Arial"/>
      <w:b/>
      <w:bCs/>
      <w:sz w:val="24"/>
      <w:szCs w:val="24"/>
    </w:rPr>
  </w:style>
  <w:style w:type="character" w:customStyle="1" w:styleId="49">
    <w:name w:val="标题 6 字符"/>
    <w:link w:val="7"/>
    <w:qFormat/>
    <w:uiPriority w:val="9"/>
    <w:rPr>
      <w:rFonts w:ascii="Arial" w:hAnsi="Arial" w:cs="Arial"/>
      <w:b/>
      <w:bCs/>
      <w:sz w:val="22"/>
      <w:szCs w:val="22"/>
    </w:rPr>
  </w:style>
  <w:style w:type="character" w:customStyle="1" w:styleId="50">
    <w:name w:val="标题 7 字符"/>
    <w:link w:val="8"/>
    <w:qFormat/>
    <w:uiPriority w:val="9"/>
    <w:rPr>
      <w:rFonts w:ascii="Arial" w:hAnsi="Arial" w:cs="Arial"/>
      <w:b/>
      <w:bCs/>
      <w:i/>
      <w:iCs/>
      <w:sz w:val="22"/>
      <w:szCs w:val="22"/>
    </w:rPr>
  </w:style>
  <w:style w:type="character" w:customStyle="1" w:styleId="51">
    <w:name w:val="标题 8 字符"/>
    <w:link w:val="9"/>
    <w:qFormat/>
    <w:uiPriority w:val="9"/>
    <w:rPr>
      <w:rFonts w:ascii="Arial" w:hAnsi="Arial" w:cs="Arial"/>
      <w:i/>
      <w:iCs/>
      <w:sz w:val="22"/>
      <w:szCs w:val="22"/>
    </w:rPr>
  </w:style>
  <w:style w:type="character" w:customStyle="1" w:styleId="52">
    <w:name w:val="标题 9 字符"/>
    <w:link w:val="10"/>
    <w:qFormat/>
    <w:uiPriority w:val="9"/>
    <w:rPr>
      <w:rFonts w:ascii="Arial" w:hAnsi="Arial" w:cs="Arial"/>
      <w:i/>
      <w:iCs/>
      <w:sz w:val="21"/>
      <w:szCs w:val="21"/>
    </w:rPr>
  </w:style>
  <w:style w:type="paragraph" w:styleId="53">
    <w:name w:val="List Paragraph"/>
    <w:basedOn w:val="1"/>
    <w:qFormat/>
    <w:uiPriority w:val="0"/>
    <w:pPr>
      <w:ind w:firstLine="420" w:firstLineChars="200"/>
    </w:pPr>
    <w:rPr>
      <w:rFonts w:ascii="Calibri" w:hAnsi="Calibri"/>
      <w:szCs w:val="22"/>
    </w:rPr>
  </w:style>
  <w:style w:type="paragraph" w:styleId="54">
    <w:name w:val="No Spacing"/>
    <w:qFormat/>
    <w:uiPriority w:val="1"/>
    <w:rPr>
      <w:rFonts w:ascii="Times New Roman" w:hAnsi="Times New Roman" w:eastAsia="宋体" w:cs="Times New Roman"/>
      <w:lang w:val="en-US" w:eastAsia="zh-CN" w:bidi="ar-SA"/>
    </w:rPr>
  </w:style>
  <w:style w:type="character" w:customStyle="1" w:styleId="55">
    <w:name w:val="标题 字符"/>
    <w:link w:val="34"/>
    <w:qFormat/>
    <w:uiPriority w:val="10"/>
    <w:rPr>
      <w:sz w:val="48"/>
      <w:szCs w:val="48"/>
    </w:rPr>
  </w:style>
  <w:style w:type="character" w:customStyle="1" w:styleId="56">
    <w:name w:val="副标题 字符"/>
    <w:link w:val="27"/>
    <w:qFormat/>
    <w:uiPriority w:val="11"/>
    <w:rPr>
      <w:sz w:val="24"/>
      <w:szCs w:val="24"/>
    </w:rPr>
  </w:style>
  <w:style w:type="paragraph" w:styleId="57">
    <w:name w:val="Quote"/>
    <w:link w:val="58"/>
    <w:qFormat/>
    <w:uiPriority w:val="29"/>
    <w:pPr>
      <w:ind w:left="720" w:right="720"/>
    </w:pPr>
    <w:rPr>
      <w:rFonts w:ascii="Times New Roman" w:hAnsi="Times New Roman" w:eastAsia="宋体" w:cs="Times New Roman"/>
      <w:i/>
      <w:lang w:val="en-US" w:eastAsia="zh-CN" w:bidi="ar-SA"/>
    </w:rPr>
  </w:style>
  <w:style w:type="character" w:customStyle="1" w:styleId="58">
    <w:name w:val="引用 字符"/>
    <w:link w:val="57"/>
    <w:qFormat/>
    <w:uiPriority w:val="29"/>
    <w:rPr>
      <w:i/>
    </w:rPr>
  </w:style>
  <w:style w:type="paragraph" w:styleId="59">
    <w:name w:val="Intense Quote"/>
    <w:link w:val="60"/>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rFonts w:ascii="Times New Roman" w:hAnsi="Times New Roman" w:eastAsia="宋体" w:cs="Times New Roman"/>
      <w:i/>
      <w:lang w:val="en-US" w:eastAsia="zh-CN" w:bidi="ar-SA"/>
    </w:rPr>
  </w:style>
  <w:style w:type="character" w:customStyle="1" w:styleId="60">
    <w:name w:val="明显引用 字符"/>
    <w:link w:val="59"/>
    <w:qFormat/>
    <w:uiPriority w:val="30"/>
    <w:rPr>
      <w:i/>
    </w:rPr>
  </w:style>
  <w:style w:type="character" w:customStyle="1" w:styleId="61">
    <w:name w:val="Header Char"/>
    <w:qFormat/>
    <w:uiPriority w:val="99"/>
  </w:style>
  <w:style w:type="character" w:customStyle="1" w:styleId="62">
    <w:name w:val="Footer Char"/>
    <w:qFormat/>
    <w:uiPriority w:val="99"/>
  </w:style>
  <w:style w:type="character" w:customStyle="1" w:styleId="63">
    <w:name w:val="Caption Char"/>
    <w:qFormat/>
    <w:uiPriority w:val="99"/>
  </w:style>
  <w:style w:type="table" w:customStyle="1" w:styleId="6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5">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66">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67">
    <w:name w:val="无格式表格 31"/>
    <w:qFormat/>
    <w:uiPriority w:val="99"/>
    <w:tblPr>
      <w:tblCellMar>
        <w:top w:w="0" w:type="dxa"/>
        <w:left w:w="0" w:type="dxa"/>
        <w:bottom w:w="0" w:type="dxa"/>
        <w:right w:w="0" w:type="dxa"/>
      </w:tblCellMar>
    </w:tblPr>
  </w:style>
  <w:style w:type="table" w:customStyle="1" w:styleId="68">
    <w:name w:val="无格式表格 41"/>
    <w:qFormat/>
    <w:uiPriority w:val="99"/>
    <w:tblPr>
      <w:tblCellMar>
        <w:top w:w="0" w:type="dxa"/>
        <w:left w:w="0" w:type="dxa"/>
        <w:bottom w:w="0" w:type="dxa"/>
        <w:right w:w="0" w:type="dxa"/>
      </w:tblCellMar>
    </w:tblPr>
  </w:style>
  <w:style w:type="table" w:customStyle="1" w:styleId="69">
    <w:name w:val="无格式表格 51"/>
    <w:qFormat/>
    <w:uiPriority w:val="99"/>
    <w:tblPr>
      <w:tblCellMar>
        <w:top w:w="0" w:type="dxa"/>
        <w:left w:w="0" w:type="dxa"/>
        <w:bottom w:w="0" w:type="dxa"/>
        <w:right w:w="0" w:type="dxa"/>
      </w:tblCellMar>
    </w:tblPr>
  </w:style>
  <w:style w:type="table" w:customStyle="1" w:styleId="70">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71">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72">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3">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4">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75">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76">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77">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8">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9">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0">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1">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2">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3">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4">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5">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6">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7">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8">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9">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0">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1">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92">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3">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4">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95">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96">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97">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98">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5">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6">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7">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8">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9">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0">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1">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2">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3">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4">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5">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6">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7">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8">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9">
    <w:name w:val="清单表 1 浅色1"/>
    <w:qFormat/>
    <w:uiPriority w:val="99"/>
    <w:tblPr>
      <w:tblCellMar>
        <w:top w:w="0" w:type="dxa"/>
        <w:left w:w="0" w:type="dxa"/>
        <w:bottom w:w="0" w:type="dxa"/>
        <w:right w:w="0" w:type="dxa"/>
      </w:tblCellMar>
    </w:tblPr>
  </w:style>
  <w:style w:type="table" w:customStyle="1" w:styleId="120">
    <w:name w:val="List Table 1 Light - Accent 1"/>
    <w:qFormat/>
    <w:uiPriority w:val="99"/>
    <w:tblPr>
      <w:tblCellMar>
        <w:top w:w="0" w:type="dxa"/>
        <w:left w:w="0" w:type="dxa"/>
        <w:bottom w:w="0" w:type="dxa"/>
        <w:right w:w="0" w:type="dxa"/>
      </w:tblCellMar>
    </w:tblPr>
  </w:style>
  <w:style w:type="table" w:customStyle="1" w:styleId="121">
    <w:name w:val="List Table 1 Light - Accent 2"/>
    <w:qFormat/>
    <w:uiPriority w:val="99"/>
    <w:tblPr>
      <w:tblCellMar>
        <w:top w:w="0" w:type="dxa"/>
        <w:left w:w="0" w:type="dxa"/>
        <w:bottom w:w="0" w:type="dxa"/>
        <w:right w:w="0" w:type="dxa"/>
      </w:tblCellMar>
    </w:tblPr>
  </w:style>
  <w:style w:type="table" w:customStyle="1" w:styleId="122">
    <w:name w:val="List Table 1 Light - Accent 3"/>
    <w:qFormat/>
    <w:uiPriority w:val="99"/>
    <w:tblPr>
      <w:tblCellMar>
        <w:top w:w="0" w:type="dxa"/>
        <w:left w:w="0" w:type="dxa"/>
        <w:bottom w:w="0" w:type="dxa"/>
        <w:right w:w="0" w:type="dxa"/>
      </w:tblCellMar>
    </w:tblPr>
  </w:style>
  <w:style w:type="table" w:customStyle="1" w:styleId="123">
    <w:name w:val="List Table 1 Light - Accent 4"/>
    <w:qFormat/>
    <w:uiPriority w:val="99"/>
    <w:tblPr>
      <w:tblCellMar>
        <w:top w:w="0" w:type="dxa"/>
        <w:left w:w="0" w:type="dxa"/>
        <w:bottom w:w="0" w:type="dxa"/>
        <w:right w:w="0" w:type="dxa"/>
      </w:tblCellMar>
    </w:tblPr>
  </w:style>
  <w:style w:type="table" w:customStyle="1" w:styleId="124">
    <w:name w:val="List Table 1 Light - Accent 5"/>
    <w:qFormat/>
    <w:uiPriority w:val="99"/>
    <w:tblPr>
      <w:tblCellMar>
        <w:top w:w="0" w:type="dxa"/>
        <w:left w:w="0" w:type="dxa"/>
        <w:bottom w:w="0" w:type="dxa"/>
        <w:right w:w="0" w:type="dxa"/>
      </w:tblCellMar>
    </w:tblPr>
  </w:style>
  <w:style w:type="table" w:customStyle="1" w:styleId="125">
    <w:name w:val="List Table 1 Light - Accent 6"/>
    <w:qFormat/>
    <w:uiPriority w:val="99"/>
    <w:tblPr>
      <w:tblCellMar>
        <w:top w:w="0" w:type="dxa"/>
        <w:left w:w="0" w:type="dxa"/>
        <w:bottom w:w="0" w:type="dxa"/>
        <w:right w:w="0" w:type="dxa"/>
      </w:tblCellMar>
    </w:tblPr>
  </w:style>
  <w:style w:type="table" w:customStyle="1" w:styleId="126">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27">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28">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9">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30">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31">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32">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3">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3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3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3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3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3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40">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41">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42">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3">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4">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45">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46">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47">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48">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9">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50">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51">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52">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3">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4">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55">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56">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57">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58">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59">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60">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61">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62">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63">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64">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65">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66">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67">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68">
    <w:name w:val="Lined - Accent"/>
    <w:qFormat/>
    <w:uiPriority w:val="99"/>
    <w:rPr>
      <w:color w:val="404040"/>
    </w:rPr>
    <w:tblPr>
      <w:tblCellMar>
        <w:top w:w="0" w:type="dxa"/>
        <w:left w:w="0" w:type="dxa"/>
        <w:bottom w:w="0" w:type="dxa"/>
        <w:right w:w="0" w:type="dxa"/>
      </w:tblCellMar>
    </w:tblPr>
  </w:style>
  <w:style w:type="table" w:customStyle="1" w:styleId="169">
    <w:name w:val="Lined - Accent 1"/>
    <w:qFormat/>
    <w:uiPriority w:val="99"/>
    <w:rPr>
      <w:color w:val="404040"/>
    </w:rPr>
    <w:tblPr>
      <w:tblCellMar>
        <w:top w:w="0" w:type="dxa"/>
        <w:left w:w="0" w:type="dxa"/>
        <w:bottom w:w="0" w:type="dxa"/>
        <w:right w:w="0" w:type="dxa"/>
      </w:tblCellMar>
    </w:tblPr>
  </w:style>
  <w:style w:type="table" w:customStyle="1" w:styleId="170">
    <w:name w:val="Lined - Accent 2"/>
    <w:qFormat/>
    <w:uiPriority w:val="99"/>
    <w:rPr>
      <w:color w:val="404040"/>
    </w:rPr>
    <w:tblPr>
      <w:tblCellMar>
        <w:top w:w="0" w:type="dxa"/>
        <w:left w:w="0" w:type="dxa"/>
        <w:bottom w:w="0" w:type="dxa"/>
        <w:right w:w="0" w:type="dxa"/>
      </w:tblCellMar>
    </w:tblPr>
  </w:style>
  <w:style w:type="table" w:customStyle="1" w:styleId="171">
    <w:name w:val="Lined - Accent 3"/>
    <w:qFormat/>
    <w:uiPriority w:val="99"/>
    <w:rPr>
      <w:color w:val="404040"/>
    </w:rPr>
    <w:tblPr>
      <w:tblCellMar>
        <w:top w:w="0" w:type="dxa"/>
        <w:left w:w="0" w:type="dxa"/>
        <w:bottom w:w="0" w:type="dxa"/>
        <w:right w:w="0" w:type="dxa"/>
      </w:tblCellMar>
    </w:tblPr>
  </w:style>
  <w:style w:type="table" w:customStyle="1" w:styleId="172">
    <w:name w:val="Lined - Accent 4"/>
    <w:qFormat/>
    <w:uiPriority w:val="99"/>
    <w:rPr>
      <w:color w:val="404040"/>
    </w:rPr>
    <w:tblPr>
      <w:tblCellMar>
        <w:top w:w="0" w:type="dxa"/>
        <w:left w:w="0" w:type="dxa"/>
        <w:bottom w:w="0" w:type="dxa"/>
        <w:right w:w="0" w:type="dxa"/>
      </w:tblCellMar>
    </w:tblPr>
  </w:style>
  <w:style w:type="table" w:customStyle="1" w:styleId="173">
    <w:name w:val="Lined - Accent 5"/>
    <w:qFormat/>
    <w:uiPriority w:val="99"/>
    <w:rPr>
      <w:color w:val="404040"/>
    </w:rPr>
    <w:tblPr>
      <w:tblCellMar>
        <w:top w:w="0" w:type="dxa"/>
        <w:left w:w="0" w:type="dxa"/>
        <w:bottom w:w="0" w:type="dxa"/>
        <w:right w:w="0" w:type="dxa"/>
      </w:tblCellMar>
    </w:tblPr>
  </w:style>
  <w:style w:type="table" w:customStyle="1" w:styleId="174">
    <w:name w:val="Lined - Accent 6"/>
    <w:qFormat/>
    <w:uiPriority w:val="99"/>
    <w:rPr>
      <w:color w:val="404040"/>
    </w:rPr>
    <w:tblPr>
      <w:tblCellMar>
        <w:top w:w="0" w:type="dxa"/>
        <w:left w:w="0" w:type="dxa"/>
        <w:bottom w:w="0" w:type="dxa"/>
        <w:right w:w="0" w:type="dxa"/>
      </w:tblCellMar>
    </w:tblPr>
  </w:style>
  <w:style w:type="table" w:customStyle="1" w:styleId="175">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76">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77">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78">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9">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80">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81">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82">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3">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4">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85">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86">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87">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88">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89">
    <w:name w:val="脚注文本 字符"/>
    <w:link w:val="28"/>
    <w:qFormat/>
    <w:uiPriority w:val="99"/>
    <w:rPr>
      <w:sz w:val="18"/>
    </w:rPr>
  </w:style>
  <w:style w:type="character" w:customStyle="1" w:styleId="190">
    <w:name w:val="尾注文本 字符"/>
    <w:link w:val="21"/>
    <w:qFormat/>
    <w:uiPriority w:val="99"/>
    <w:rPr>
      <w:sz w:val="20"/>
    </w:rPr>
  </w:style>
  <w:style w:type="paragraph" w:customStyle="1" w:styleId="191">
    <w:name w:val="TOC 标题1"/>
    <w:unhideWhenUsed/>
    <w:qFormat/>
    <w:uiPriority w:val="39"/>
    <w:rPr>
      <w:rFonts w:ascii="Times New Roman" w:hAnsi="Times New Roman" w:eastAsia="宋体" w:cs="Times New Roman"/>
      <w:lang w:val="en-US" w:eastAsia="zh-CN" w:bidi="ar-SA"/>
    </w:rPr>
  </w:style>
  <w:style w:type="character" w:customStyle="1" w:styleId="192">
    <w:name w:val="标题 1 字符"/>
    <w:link w:val="2"/>
    <w:qFormat/>
    <w:uiPriority w:val="0"/>
    <w:rPr>
      <w:b/>
      <w:bCs/>
      <w:sz w:val="44"/>
      <w:szCs w:val="44"/>
    </w:rPr>
  </w:style>
  <w:style w:type="character" w:customStyle="1" w:styleId="193">
    <w:name w:val="标题 2 字符"/>
    <w:link w:val="3"/>
    <w:semiHidden/>
    <w:qFormat/>
    <w:uiPriority w:val="0"/>
    <w:rPr>
      <w:rFonts w:ascii="Cambria" w:hAnsi="Cambria" w:eastAsia="宋体"/>
      <w:b/>
      <w:bCs/>
      <w:sz w:val="32"/>
      <w:szCs w:val="32"/>
    </w:rPr>
  </w:style>
  <w:style w:type="character" w:customStyle="1" w:styleId="194">
    <w:name w:val="文档结构图 字符"/>
    <w:link w:val="13"/>
    <w:semiHidden/>
    <w:qFormat/>
    <w:uiPriority w:val="0"/>
    <w:rPr>
      <w:sz w:val="2"/>
    </w:rPr>
  </w:style>
  <w:style w:type="character" w:customStyle="1" w:styleId="195">
    <w:name w:val="批注文字 字符"/>
    <w:link w:val="14"/>
    <w:semiHidden/>
    <w:qFormat/>
    <w:uiPriority w:val="0"/>
    <w:rPr>
      <w:sz w:val="24"/>
      <w:szCs w:val="24"/>
    </w:rPr>
  </w:style>
  <w:style w:type="character" w:customStyle="1" w:styleId="196">
    <w:name w:val="正文文本 字符"/>
    <w:link w:val="15"/>
    <w:semiHidden/>
    <w:qFormat/>
    <w:uiPriority w:val="0"/>
    <w:rPr>
      <w:sz w:val="24"/>
      <w:szCs w:val="24"/>
    </w:rPr>
  </w:style>
  <w:style w:type="character" w:customStyle="1" w:styleId="197">
    <w:name w:val="正文文本缩进 字符"/>
    <w:link w:val="16"/>
    <w:qFormat/>
    <w:uiPriority w:val="0"/>
    <w:rPr>
      <w:sz w:val="24"/>
      <w:szCs w:val="24"/>
    </w:rPr>
  </w:style>
  <w:style w:type="character" w:customStyle="1" w:styleId="198">
    <w:name w:val="正文文本缩进 2 字符"/>
    <w:link w:val="20"/>
    <w:semiHidden/>
    <w:qFormat/>
    <w:uiPriority w:val="0"/>
    <w:rPr>
      <w:sz w:val="24"/>
      <w:szCs w:val="24"/>
    </w:rPr>
  </w:style>
  <w:style w:type="character" w:customStyle="1" w:styleId="199">
    <w:name w:val="批注框文本 字符"/>
    <w:link w:val="22"/>
    <w:semiHidden/>
    <w:qFormat/>
    <w:uiPriority w:val="0"/>
    <w:rPr>
      <w:sz w:val="2"/>
    </w:rPr>
  </w:style>
  <w:style w:type="character" w:customStyle="1" w:styleId="200">
    <w:name w:val="页脚 字符"/>
    <w:link w:val="23"/>
    <w:semiHidden/>
    <w:qFormat/>
    <w:uiPriority w:val="0"/>
    <w:rPr>
      <w:sz w:val="18"/>
      <w:szCs w:val="18"/>
    </w:rPr>
  </w:style>
  <w:style w:type="character" w:customStyle="1" w:styleId="201">
    <w:name w:val="页眉 字符"/>
    <w:link w:val="24"/>
    <w:qFormat/>
    <w:uiPriority w:val="0"/>
    <w:rPr>
      <w:sz w:val="18"/>
      <w:szCs w:val="18"/>
    </w:rPr>
  </w:style>
  <w:style w:type="character" w:customStyle="1" w:styleId="202">
    <w:name w:val="正文文本 2 字符"/>
    <w:link w:val="33"/>
    <w:semiHidden/>
    <w:qFormat/>
    <w:uiPriority w:val="0"/>
    <w:rPr>
      <w:sz w:val="24"/>
      <w:szCs w:val="24"/>
    </w:rPr>
  </w:style>
  <w:style w:type="character" w:customStyle="1" w:styleId="203">
    <w:name w:val="批注主题 字符"/>
    <w:link w:val="35"/>
    <w:semiHidden/>
    <w:qFormat/>
    <w:uiPriority w:val="0"/>
    <w:rPr>
      <w:b/>
      <w:bCs/>
      <w:sz w:val="24"/>
      <w:szCs w:val="24"/>
    </w:rPr>
  </w:style>
  <w:style w:type="paragraph" w:customStyle="1" w:styleId="204">
    <w:name w:val="正文所"/>
    <w:basedOn w:val="1"/>
    <w:qFormat/>
    <w:uiPriority w:val="0"/>
    <w:pPr>
      <w:spacing w:line="360" w:lineRule="auto"/>
      <w:ind w:firstLine="420"/>
    </w:pPr>
  </w:style>
  <w:style w:type="paragraph" w:customStyle="1" w:styleId="205">
    <w:name w:val="样式 首行缩进:  2 字符 段前: 0.25 行 段后: 0.25 行"/>
    <w:basedOn w:val="1"/>
    <w:qFormat/>
    <w:uiPriority w:val="0"/>
    <w:pPr>
      <w:spacing w:line="300" w:lineRule="auto"/>
      <w:ind w:firstLine="420" w:firstLineChars="200"/>
    </w:pPr>
    <w:rPr>
      <w:szCs w:val="21"/>
    </w:rPr>
  </w:style>
  <w:style w:type="paragraph" w:customStyle="1" w:styleId="206">
    <w:name w:val="Default"/>
    <w:qFormat/>
    <w:uiPriority w:val="0"/>
    <w:pPr>
      <w:widowControl w:val="0"/>
      <w:autoSpaceDE w:val="0"/>
      <w:autoSpaceDN w:val="0"/>
    </w:pPr>
    <w:rPr>
      <w:rFonts w:ascii="宋体" w:hAnsi="Times New Roman" w:eastAsia="宋体" w:cs="Times New Roman"/>
      <w:color w:val="000000"/>
      <w:sz w:val="24"/>
      <w:szCs w:val="24"/>
      <w:lang w:val="en-US" w:eastAsia="zh-CN" w:bidi="ar-SA"/>
    </w:rPr>
  </w:style>
  <w:style w:type="paragraph" w:customStyle="1" w:styleId="207">
    <w:name w:val="默认段落字体 Para Char"/>
    <w:basedOn w:val="1"/>
    <w:qFormat/>
    <w:uiPriority w:val="0"/>
  </w:style>
  <w:style w:type="paragraph" w:customStyle="1" w:styleId="208">
    <w:name w:val="Char"/>
    <w:basedOn w:val="1"/>
    <w:qFormat/>
    <w:uiPriority w:val="0"/>
  </w:style>
  <w:style w:type="paragraph" w:customStyle="1" w:styleId="209">
    <w:name w:val="UCAlpha 2"/>
    <w:basedOn w:val="1"/>
    <w:qFormat/>
    <w:uiPriority w:val="0"/>
    <w:pPr>
      <w:numPr>
        <w:ilvl w:val="0"/>
        <w:numId w:val="1"/>
      </w:numPr>
      <w:spacing w:after="140" w:line="290" w:lineRule="auto"/>
    </w:pPr>
    <w:rPr>
      <w:rFonts w:ascii="Arial" w:hAnsi="Arial"/>
      <w:lang w:val="en-GB" w:eastAsia="en-US"/>
    </w:rPr>
  </w:style>
  <w:style w:type="paragraph" w:customStyle="1" w:styleId="210">
    <w:name w:val="合同正文"/>
    <w:basedOn w:val="1"/>
    <w:link w:val="211"/>
    <w:qFormat/>
    <w:uiPriority w:val="0"/>
    <w:pPr>
      <w:spacing w:line="360" w:lineRule="auto"/>
      <w:ind w:firstLine="200" w:firstLineChars="200"/>
    </w:pPr>
    <w:rPr>
      <w:bCs/>
      <w:sz w:val="24"/>
    </w:rPr>
  </w:style>
  <w:style w:type="character" w:customStyle="1" w:styleId="211">
    <w:name w:val="合同正文 Char"/>
    <w:link w:val="210"/>
    <w:qFormat/>
    <w:uiPriority w:val="0"/>
    <w:rPr>
      <w:bCs/>
      <w:sz w:val="24"/>
      <w:szCs w:val="20"/>
    </w:rPr>
  </w:style>
  <w:style w:type="paragraph" w:customStyle="1" w:styleId="212">
    <w:name w:val="修订1"/>
    <w:semiHidden/>
    <w:qFormat/>
    <w:uiPriority w:val="0"/>
    <w:rPr>
      <w:rFonts w:ascii="Times New Roman" w:hAnsi="Times New Roman" w:eastAsia="宋体" w:cs="Times New Roman"/>
      <w:sz w:val="21"/>
      <w:szCs w:val="24"/>
      <w:lang w:val="en-US" w:eastAsia="zh-CN" w:bidi="ar-SA"/>
    </w:rPr>
  </w:style>
  <w:style w:type="paragraph" w:customStyle="1" w:styleId="213">
    <w:name w:val="Char Char"/>
    <w:basedOn w:val="1"/>
    <w:qFormat/>
    <w:uiPriority w:val="0"/>
  </w:style>
  <w:style w:type="paragraph" w:customStyle="1" w:styleId="214">
    <w:name w:val="Char Char1"/>
    <w:basedOn w:val="1"/>
    <w:qFormat/>
    <w:uiPriority w:val="0"/>
  </w:style>
  <w:style w:type="character" w:customStyle="1" w:styleId="215">
    <w:name w:val="read"/>
    <w:qFormat/>
    <w:uiPriority w:val="0"/>
  </w:style>
  <w:style w:type="paragraph" w:customStyle="1" w:styleId="216">
    <w:name w:val="div"/>
    <w:basedOn w:val="1"/>
    <w:qFormat/>
    <w:uiPriority w:val="0"/>
  </w:style>
  <w:style w:type="paragraph" w:customStyle="1" w:styleId="217">
    <w:name w:val="修订2"/>
    <w:hidden/>
    <w:semiHidden/>
    <w:qFormat/>
    <w:uiPriority w:val="99"/>
    <w:rPr>
      <w:rFonts w:ascii="Times New Roman" w:hAnsi="Times New Roman" w:eastAsia="宋体" w:cs="Times New Roman"/>
      <w:lang w:val="en-US" w:eastAsia="zh-CN" w:bidi="ar-SA"/>
    </w:rPr>
  </w:style>
  <w:style w:type="paragraph" w:customStyle="1" w:styleId="218">
    <w:name w:val="修订3"/>
    <w:hidden/>
    <w:unhideWhenUsed/>
    <w:qFormat/>
    <w:uiPriority w:val="99"/>
    <w:rPr>
      <w:rFonts w:ascii="Times New Roman" w:hAnsi="Times New Roman" w:eastAsia="宋体" w:cs="Times New Roman"/>
      <w:lang w:val="en-US" w:eastAsia="zh-CN" w:bidi="ar-SA"/>
    </w:rPr>
  </w:style>
  <w:style w:type="character" w:customStyle="1" w:styleId="219">
    <w:name w:val="custom"/>
    <w:basedOn w:val="38"/>
    <w:qFormat/>
    <w:uiPriority w:val="0"/>
  </w:style>
  <w:style w:type="character" w:customStyle="1" w:styleId="220">
    <w:name w:val="serial-tag"/>
    <w:basedOn w:val="38"/>
    <w:qFormat/>
    <w:uiPriority w:val="0"/>
  </w:style>
  <w:style w:type="character" w:customStyle="1" w:styleId="221">
    <w:name w:val="custom1"/>
    <w:basedOn w:val="38"/>
    <w:qFormat/>
    <w:uiPriority w:val="0"/>
  </w:style>
  <w:style w:type="paragraph" w:customStyle="1" w:styleId="222">
    <w:name w:val="修订4"/>
    <w:hidden/>
    <w:semiHidden/>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中信建投证券股份有限公司</Company>
  <Pages>40</Pages>
  <Words>5125</Words>
  <Characters>29213</Characters>
  <Lines>243</Lines>
  <Paragraphs>68</Paragraphs>
  <TotalTime>32</TotalTime>
  <ScaleCrop>false</ScaleCrop>
  <LinksUpToDate>false</LinksUpToDate>
  <CharactersWithSpaces>34270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2024-11-19T01:21:00Z</dcterms:created>
  <dc:creator>王星汉1118</dc:creator>
  <cp:lastModifiedBy>王星汉202602</cp:lastModifiedBy>
  <dcterms:modified xsi:type="dcterms:W3CDTF">2026-02-10T06:17:20Z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6D7506727FBD43ADBF73ABA8947B674A_13</vt:lpwstr>
  </property>
</Properties>
</file>